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82EC" w14:textId="77777777" w:rsidR="004C2EE6" w:rsidRPr="00E07A8E" w:rsidRDefault="004C2EE6" w:rsidP="00AB44E4">
      <w:pPr>
        <w:tabs>
          <w:tab w:val="left" w:pos="4253"/>
        </w:tabs>
        <w:jc w:val="both"/>
        <w:rPr>
          <w:rFonts w:cs="Times New Roman"/>
        </w:rPr>
      </w:pPr>
    </w:p>
    <w:p w14:paraId="6953552C" w14:textId="77777777" w:rsidR="00AC0F73" w:rsidRPr="00E07A8E" w:rsidRDefault="00AC0F73" w:rsidP="00AB44E4">
      <w:pPr>
        <w:tabs>
          <w:tab w:val="left" w:pos="4253"/>
        </w:tabs>
        <w:ind w:left="4253"/>
        <w:jc w:val="both"/>
        <w:rPr>
          <w:rFonts w:cs="Times New Roman"/>
        </w:rPr>
      </w:pPr>
    </w:p>
    <w:p w14:paraId="31D9F417" w14:textId="5E37D31F" w:rsidR="001A241D" w:rsidRDefault="001A241D" w:rsidP="001A241D">
      <w:pPr>
        <w:tabs>
          <w:tab w:val="right" w:pos="7371"/>
        </w:tabs>
        <w:ind w:left="-567"/>
        <w:jc w:val="both"/>
        <w:rPr>
          <w:rFonts w:cs="Times New Roman"/>
          <w:b/>
          <w:sz w:val="22"/>
          <w:szCs w:val="22"/>
        </w:rPr>
      </w:pPr>
      <w:r>
        <w:rPr>
          <w:rFonts w:cs="Times New Roman"/>
          <w:b/>
          <w:sz w:val="22"/>
          <w:szCs w:val="22"/>
        </w:rPr>
        <w:t>REMISSYTTRANDE</w:t>
      </w:r>
      <w:r>
        <w:rPr>
          <w:rFonts w:cs="Times New Roman"/>
          <w:b/>
          <w:sz w:val="22"/>
          <w:szCs w:val="22"/>
        </w:rPr>
        <w:tab/>
        <w:t xml:space="preserve">Diarienummer </w:t>
      </w:r>
      <w:r w:rsidR="008645F8">
        <w:rPr>
          <w:rFonts w:cs="Times New Roman"/>
          <w:b/>
          <w:sz w:val="22"/>
          <w:szCs w:val="22"/>
        </w:rPr>
        <w:t>Fi2023/02</w:t>
      </w:r>
      <w:r w:rsidR="0019355D">
        <w:rPr>
          <w:rFonts w:cs="Times New Roman"/>
          <w:b/>
          <w:sz w:val="22"/>
          <w:szCs w:val="22"/>
        </w:rPr>
        <w:t>126</w:t>
      </w:r>
    </w:p>
    <w:p w14:paraId="1175EA21" w14:textId="77777777" w:rsidR="001A241D" w:rsidRDefault="001A241D" w:rsidP="001A241D">
      <w:pPr>
        <w:ind w:left="-567"/>
        <w:jc w:val="both"/>
        <w:rPr>
          <w:rFonts w:cs="Times New Roman"/>
          <w:bCs/>
          <w:sz w:val="22"/>
          <w:szCs w:val="22"/>
        </w:rPr>
      </w:pPr>
    </w:p>
    <w:p w14:paraId="73A3AA4F" w14:textId="77777777" w:rsidR="001A241D" w:rsidRDefault="001A241D" w:rsidP="001A241D">
      <w:pPr>
        <w:ind w:left="-567"/>
        <w:jc w:val="both"/>
        <w:rPr>
          <w:rFonts w:cs="Times New Roman"/>
          <w:bCs/>
          <w:sz w:val="22"/>
          <w:szCs w:val="22"/>
        </w:rPr>
      </w:pPr>
    </w:p>
    <w:p w14:paraId="68C98CFC" w14:textId="77777777" w:rsidR="001A241D" w:rsidRDefault="001A241D" w:rsidP="001A241D">
      <w:pPr>
        <w:ind w:left="-567"/>
        <w:jc w:val="both"/>
        <w:rPr>
          <w:rFonts w:cs="Times New Roman"/>
          <w:bCs/>
          <w:sz w:val="22"/>
          <w:szCs w:val="22"/>
        </w:rPr>
      </w:pPr>
    </w:p>
    <w:p w14:paraId="17329C28" w14:textId="77777777" w:rsidR="001A241D" w:rsidRDefault="001A241D" w:rsidP="001A241D">
      <w:pPr>
        <w:ind w:left="-567"/>
        <w:jc w:val="both"/>
        <w:rPr>
          <w:rFonts w:cs="Times New Roman"/>
        </w:rPr>
      </w:pPr>
    </w:p>
    <w:p w14:paraId="0B9D60A2" w14:textId="77777777" w:rsidR="001A241D" w:rsidRPr="009C5CA1" w:rsidRDefault="001A241D" w:rsidP="001A241D">
      <w:pPr>
        <w:ind w:left="-567"/>
        <w:jc w:val="both"/>
        <w:rPr>
          <w:rFonts w:cs="Times New Roman"/>
        </w:rPr>
      </w:pPr>
      <w:r w:rsidRPr="009C5CA1">
        <w:rPr>
          <w:rFonts w:cs="Times New Roman"/>
        </w:rPr>
        <w:t>Per e</w:t>
      </w:r>
      <w:r>
        <w:rPr>
          <w:rFonts w:cs="Times New Roman"/>
        </w:rPr>
        <w:t>-post</w:t>
      </w:r>
      <w:r w:rsidRPr="009C5CA1">
        <w:rPr>
          <w:rFonts w:cs="Times New Roman"/>
        </w:rPr>
        <w:t>:</w:t>
      </w:r>
    </w:p>
    <w:p w14:paraId="2F90DFE0" w14:textId="2F84803B" w:rsidR="001A241D" w:rsidRDefault="005D12F6" w:rsidP="001A241D">
      <w:pPr>
        <w:ind w:left="-567"/>
        <w:jc w:val="both"/>
        <w:rPr>
          <w:rFonts w:cs="Times New Roman"/>
        </w:rPr>
      </w:pPr>
      <w:hyperlink r:id="rId10" w:history="1">
        <w:r w:rsidR="00A43B1B" w:rsidRPr="00E45D0D">
          <w:rPr>
            <w:rStyle w:val="Hyperlnk"/>
          </w:rPr>
          <w:t>Fi.remissvar@regeringskansliet.se</w:t>
        </w:r>
      </w:hyperlink>
      <w:r w:rsidR="00A43B1B">
        <w:t xml:space="preserve"> </w:t>
      </w:r>
    </w:p>
    <w:p w14:paraId="63E9509E" w14:textId="66CF48DB" w:rsidR="001A241D" w:rsidRPr="00552E58" w:rsidRDefault="00A43B1B" w:rsidP="001A241D">
      <w:pPr>
        <w:ind w:left="-567"/>
        <w:jc w:val="both"/>
        <w:rPr>
          <w:color w:val="000000"/>
        </w:rPr>
      </w:pPr>
      <w:r>
        <w:rPr>
          <w:color w:val="000000"/>
        </w:rPr>
        <w:t xml:space="preserve">cc: </w:t>
      </w:r>
      <w:hyperlink r:id="rId11" w:history="1">
        <w:r w:rsidRPr="00E45D0D">
          <w:rPr>
            <w:rStyle w:val="Hyperlnk"/>
          </w:rPr>
          <w:t>fi.ofa.ko@regeringskansliet.se</w:t>
        </w:r>
      </w:hyperlink>
      <w:r>
        <w:rPr>
          <w:color w:val="000000"/>
        </w:rPr>
        <w:t xml:space="preserve"> </w:t>
      </w:r>
    </w:p>
    <w:p w14:paraId="08C698BD" w14:textId="77777777" w:rsidR="001A241D" w:rsidRPr="00552E58" w:rsidRDefault="001A241D" w:rsidP="001A241D">
      <w:pPr>
        <w:ind w:left="-567"/>
        <w:jc w:val="both"/>
        <w:rPr>
          <w:color w:val="000000"/>
        </w:rPr>
      </w:pPr>
    </w:p>
    <w:p w14:paraId="45DE4E3F" w14:textId="77777777" w:rsidR="001A241D" w:rsidRPr="00552E58" w:rsidRDefault="001A241D" w:rsidP="001A241D">
      <w:pPr>
        <w:ind w:left="-567"/>
        <w:jc w:val="both"/>
        <w:rPr>
          <w:color w:val="000000"/>
        </w:rPr>
      </w:pPr>
    </w:p>
    <w:p w14:paraId="735EEBB3" w14:textId="77777777" w:rsidR="00BA2A0E" w:rsidRDefault="00BA2A0E" w:rsidP="001A241D">
      <w:pPr>
        <w:ind w:left="-567"/>
        <w:jc w:val="both"/>
        <w:rPr>
          <w:rFonts w:cs="Times New Roman"/>
        </w:rPr>
      </w:pPr>
    </w:p>
    <w:p w14:paraId="6012D11C" w14:textId="77777777" w:rsidR="00BA2A0E" w:rsidRDefault="00BA2A0E" w:rsidP="001A241D">
      <w:pPr>
        <w:ind w:left="-567"/>
        <w:jc w:val="both"/>
        <w:rPr>
          <w:rFonts w:cs="Times New Roman"/>
        </w:rPr>
      </w:pPr>
    </w:p>
    <w:p w14:paraId="7C6C9A94" w14:textId="1B85336E" w:rsidR="001A241D" w:rsidRDefault="00260075" w:rsidP="001A241D">
      <w:pPr>
        <w:ind w:left="-567"/>
        <w:jc w:val="both"/>
        <w:rPr>
          <w:rFonts w:cs="Times New Roman"/>
        </w:rPr>
      </w:pPr>
      <w:r>
        <w:rPr>
          <w:rFonts w:cs="Times New Roman"/>
        </w:rPr>
        <w:t>Finansdepartementet</w:t>
      </w:r>
    </w:p>
    <w:p w14:paraId="44B9FEAE" w14:textId="77777777" w:rsidR="001A241D" w:rsidRPr="00E9409F" w:rsidRDefault="001A241D" w:rsidP="001A241D">
      <w:pPr>
        <w:ind w:left="-567"/>
        <w:jc w:val="both"/>
        <w:rPr>
          <w:color w:val="000000"/>
        </w:rPr>
      </w:pPr>
    </w:p>
    <w:p w14:paraId="2E6C403D" w14:textId="77777777" w:rsidR="001A241D" w:rsidRDefault="001A241D" w:rsidP="001A241D">
      <w:pPr>
        <w:ind w:left="-567"/>
        <w:jc w:val="both"/>
        <w:rPr>
          <w:rFonts w:cs="Times New Roman"/>
          <w:bCs/>
          <w:sz w:val="22"/>
          <w:szCs w:val="22"/>
        </w:rPr>
      </w:pPr>
    </w:p>
    <w:p w14:paraId="3CB1BBE3" w14:textId="77777777" w:rsidR="00BA2A0E" w:rsidRDefault="00BA2A0E" w:rsidP="001A241D">
      <w:pPr>
        <w:ind w:left="-567"/>
        <w:jc w:val="both"/>
        <w:rPr>
          <w:rFonts w:cs="Times New Roman"/>
          <w:sz w:val="22"/>
          <w:szCs w:val="22"/>
        </w:rPr>
      </w:pPr>
    </w:p>
    <w:p w14:paraId="09E934A3" w14:textId="4CED0A52" w:rsidR="001A241D" w:rsidRDefault="008261B8" w:rsidP="001A241D">
      <w:pPr>
        <w:ind w:left="-567"/>
        <w:jc w:val="both"/>
        <w:rPr>
          <w:rFonts w:cs="Times New Roman"/>
          <w:sz w:val="22"/>
          <w:szCs w:val="22"/>
        </w:rPr>
      </w:pPr>
      <w:r>
        <w:rPr>
          <w:rFonts w:cs="Times New Roman"/>
          <w:sz w:val="22"/>
          <w:szCs w:val="22"/>
        </w:rPr>
        <w:t>202</w:t>
      </w:r>
      <w:r w:rsidR="00260075">
        <w:rPr>
          <w:rFonts w:cs="Times New Roman"/>
          <w:sz w:val="22"/>
          <w:szCs w:val="22"/>
        </w:rPr>
        <w:t>3-10-</w:t>
      </w:r>
      <w:r w:rsidR="003A72EF">
        <w:rPr>
          <w:rFonts w:cs="Times New Roman"/>
          <w:sz w:val="22"/>
          <w:szCs w:val="22"/>
        </w:rPr>
        <w:t>17</w:t>
      </w:r>
    </w:p>
    <w:p w14:paraId="529507D6" w14:textId="77777777" w:rsidR="001A241D" w:rsidRDefault="001A241D" w:rsidP="001A241D">
      <w:pPr>
        <w:ind w:left="-567"/>
        <w:jc w:val="both"/>
        <w:rPr>
          <w:rFonts w:cs="Times New Roman"/>
          <w:sz w:val="22"/>
          <w:szCs w:val="22"/>
        </w:rPr>
      </w:pPr>
    </w:p>
    <w:p w14:paraId="3A5A868B" w14:textId="77777777" w:rsidR="001A241D" w:rsidRDefault="001A241D" w:rsidP="001A241D">
      <w:pPr>
        <w:ind w:left="-567"/>
        <w:jc w:val="both"/>
        <w:rPr>
          <w:rFonts w:cs="Times New Roman"/>
          <w:sz w:val="22"/>
          <w:szCs w:val="22"/>
        </w:rPr>
      </w:pPr>
    </w:p>
    <w:p w14:paraId="3DE84841" w14:textId="77777777" w:rsidR="001A241D" w:rsidRDefault="001A241D" w:rsidP="001A241D">
      <w:pPr>
        <w:ind w:left="-567"/>
        <w:jc w:val="both"/>
        <w:rPr>
          <w:rFonts w:cs="Times New Roman"/>
          <w:b/>
          <w:sz w:val="22"/>
          <w:szCs w:val="22"/>
        </w:rPr>
      </w:pPr>
    </w:p>
    <w:p w14:paraId="1328C394" w14:textId="210668F6" w:rsidR="001A241D" w:rsidRDefault="001A241D" w:rsidP="001A241D">
      <w:pPr>
        <w:pStyle w:val="Default"/>
        <w:ind w:left="-567" w:right="567"/>
        <w:jc w:val="both"/>
        <w:rPr>
          <w:b/>
        </w:rPr>
      </w:pPr>
      <w:r>
        <w:rPr>
          <w:b/>
        </w:rPr>
        <w:t xml:space="preserve">Yttrande över </w:t>
      </w:r>
      <w:r w:rsidR="00260075">
        <w:rPr>
          <w:b/>
        </w:rPr>
        <w:t>betänkandet Ett förbättrat resegarantisystem</w:t>
      </w:r>
      <w:r w:rsidR="00146D4C">
        <w:rPr>
          <w:b/>
        </w:rPr>
        <w:t xml:space="preserve"> (SOU 2023:33)</w:t>
      </w:r>
    </w:p>
    <w:p w14:paraId="1DE3AFB4" w14:textId="77777777" w:rsidR="001A241D" w:rsidRPr="00EC48B2" w:rsidRDefault="001A241D" w:rsidP="001A241D">
      <w:pPr>
        <w:autoSpaceDE w:val="0"/>
        <w:autoSpaceDN w:val="0"/>
        <w:adjustRightInd w:val="0"/>
        <w:ind w:left="-567" w:right="567"/>
        <w:jc w:val="both"/>
        <w:rPr>
          <w:rFonts w:cs="Times New Roman"/>
        </w:rPr>
      </w:pPr>
    </w:p>
    <w:p w14:paraId="0AAA17D8" w14:textId="140E7839" w:rsidR="001121C3" w:rsidRPr="00EC48B2" w:rsidRDefault="001A241D" w:rsidP="001121C3">
      <w:pPr>
        <w:autoSpaceDE w:val="0"/>
        <w:autoSpaceDN w:val="0"/>
        <w:adjustRightInd w:val="0"/>
        <w:ind w:left="-567" w:right="567"/>
        <w:jc w:val="both"/>
        <w:rPr>
          <w:rFonts w:cs="Times New Roman"/>
        </w:rPr>
      </w:pPr>
      <w:r w:rsidRPr="00EC48B2">
        <w:rPr>
          <w:rFonts w:cs="Times New Roman"/>
        </w:rPr>
        <w:t xml:space="preserve">Svenska </w:t>
      </w:r>
      <w:r w:rsidR="00553C9E" w:rsidRPr="00EC48B2">
        <w:rPr>
          <w:rFonts w:cs="Times New Roman"/>
        </w:rPr>
        <w:t>Resebranschföreningen</w:t>
      </w:r>
      <w:r w:rsidRPr="00EC48B2">
        <w:rPr>
          <w:rFonts w:cs="Times New Roman"/>
        </w:rPr>
        <w:t xml:space="preserve"> (SRF) har bjudits in att lämna synpunkter på </w:t>
      </w:r>
      <w:r w:rsidR="00146D4C" w:rsidRPr="00EC48B2">
        <w:rPr>
          <w:rFonts w:cs="Times New Roman"/>
        </w:rPr>
        <w:t>Resegarantisystemutredningens förslag till nytt resegarantisystem</w:t>
      </w:r>
      <w:r w:rsidR="001121C3" w:rsidRPr="00EC48B2">
        <w:rPr>
          <w:rFonts w:cs="Times New Roman"/>
        </w:rPr>
        <w:t>.</w:t>
      </w:r>
    </w:p>
    <w:p w14:paraId="07B5243C" w14:textId="4B3BC160" w:rsidR="001121C3" w:rsidRPr="00EC48B2" w:rsidRDefault="001121C3" w:rsidP="001121C3">
      <w:pPr>
        <w:autoSpaceDE w:val="0"/>
        <w:autoSpaceDN w:val="0"/>
        <w:adjustRightInd w:val="0"/>
        <w:ind w:left="-567" w:right="567"/>
        <w:jc w:val="both"/>
        <w:rPr>
          <w:rFonts w:cs="Times New Roman"/>
        </w:rPr>
      </w:pPr>
    </w:p>
    <w:p w14:paraId="028B8227" w14:textId="59E3FF33" w:rsidR="00452BF6" w:rsidRDefault="00EC48B2" w:rsidP="00452BF6">
      <w:pPr>
        <w:ind w:left="-567" w:right="567"/>
        <w:jc w:val="both"/>
      </w:pPr>
      <w:r w:rsidRPr="00EC48B2">
        <w:t xml:space="preserve">SRF välkomnar utredningens förslag och ställer sig i huvudsak bakom </w:t>
      </w:r>
      <w:r w:rsidR="00766995" w:rsidRPr="00EB2C72">
        <w:rPr>
          <w:color w:val="000000" w:themeColor="text1"/>
        </w:rPr>
        <w:t xml:space="preserve">grundtanken med att </w:t>
      </w:r>
      <w:r w:rsidR="00B9534E" w:rsidRPr="00EB2C72">
        <w:rPr>
          <w:color w:val="000000" w:themeColor="text1"/>
        </w:rPr>
        <w:t xml:space="preserve">införa ett nytt resegarantisystem som bygger på lägre individuella garantier kombinerat </w:t>
      </w:r>
      <w:r w:rsidR="00A63232" w:rsidRPr="00EB2C72">
        <w:rPr>
          <w:color w:val="000000" w:themeColor="text1"/>
        </w:rPr>
        <w:t>med en stor fond</w:t>
      </w:r>
      <w:r w:rsidRPr="00EB2C72">
        <w:rPr>
          <w:color w:val="000000" w:themeColor="text1"/>
        </w:rPr>
        <w:t>.</w:t>
      </w:r>
      <w:r w:rsidR="00452BF6" w:rsidRPr="00EB2C72">
        <w:rPr>
          <w:color w:val="000000" w:themeColor="text1"/>
        </w:rPr>
        <w:t xml:space="preserve"> </w:t>
      </w:r>
      <w:r w:rsidR="00847E32" w:rsidRPr="00EB2C72">
        <w:rPr>
          <w:color w:val="000000" w:themeColor="text1"/>
        </w:rPr>
        <w:t>Som närmare kommer att utvecklas nedan är dock en</w:t>
      </w:r>
      <w:r w:rsidR="005F5C36" w:rsidRPr="00EB2C72">
        <w:rPr>
          <w:color w:val="000000" w:themeColor="text1"/>
        </w:rPr>
        <w:t xml:space="preserve"> avgörande</w:t>
      </w:r>
      <w:r w:rsidR="00847E32" w:rsidRPr="00EB2C72">
        <w:rPr>
          <w:color w:val="000000" w:themeColor="text1"/>
        </w:rPr>
        <w:t xml:space="preserve"> </w:t>
      </w:r>
      <w:r w:rsidR="00E5328D" w:rsidRPr="00EB2C72">
        <w:rPr>
          <w:color w:val="000000" w:themeColor="text1"/>
        </w:rPr>
        <w:t>förutsättning för införandet</w:t>
      </w:r>
      <w:r w:rsidR="005F5C36" w:rsidRPr="00EB2C72">
        <w:rPr>
          <w:color w:val="000000" w:themeColor="text1"/>
        </w:rPr>
        <w:t xml:space="preserve"> av det nya systemet</w:t>
      </w:r>
      <w:r w:rsidR="00E5328D" w:rsidRPr="00EB2C72">
        <w:rPr>
          <w:color w:val="000000" w:themeColor="text1"/>
        </w:rPr>
        <w:t xml:space="preserve"> att staten inledningsvis garanterar fondkapitalet</w:t>
      </w:r>
      <w:r w:rsidR="005F5C36" w:rsidRPr="00EB2C72">
        <w:rPr>
          <w:color w:val="000000" w:themeColor="text1"/>
        </w:rPr>
        <w:t xml:space="preserve"> till dess att fonden är fullt uppbyggd</w:t>
      </w:r>
      <w:r w:rsidR="00E523BE" w:rsidRPr="00EB2C72">
        <w:rPr>
          <w:color w:val="000000" w:themeColor="text1"/>
        </w:rPr>
        <w:t>.</w:t>
      </w:r>
      <w:r w:rsidR="00EB2C72">
        <w:rPr>
          <w:color w:val="000000" w:themeColor="text1"/>
        </w:rPr>
        <w:t xml:space="preserve"> Utan en sådan garanti kommer det inte att vara möjligt att införa ett nytt </w:t>
      </w:r>
      <w:r w:rsidR="004C27D2">
        <w:rPr>
          <w:color w:val="000000" w:themeColor="text1"/>
        </w:rPr>
        <w:t>rese</w:t>
      </w:r>
      <w:r w:rsidR="00EB2C72">
        <w:rPr>
          <w:color w:val="000000" w:themeColor="text1"/>
        </w:rPr>
        <w:t>garantisystem</w:t>
      </w:r>
      <w:r w:rsidR="004C27D2">
        <w:rPr>
          <w:color w:val="000000" w:themeColor="text1"/>
        </w:rPr>
        <w:t>.</w:t>
      </w:r>
      <w:r w:rsidR="00E523BE" w:rsidRPr="00EB2C72">
        <w:rPr>
          <w:color w:val="000000" w:themeColor="text1"/>
        </w:rPr>
        <w:t xml:space="preserve"> </w:t>
      </w:r>
      <w:r w:rsidR="00452BF6" w:rsidRPr="00EB2C72">
        <w:rPr>
          <w:color w:val="000000" w:themeColor="text1"/>
        </w:rPr>
        <w:t>Vi välkomnar</w:t>
      </w:r>
      <w:r w:rsidR="0043261A" w:rsidRPr="00EB2C72">
        <w:rPr>
          <w:color w:val="000000" w:themeColor="text1"/>
        </w:rPr>
        <w:t xml:space="preserve"> </w:t>
      </w:r>
      <w:r w:rsidR="00452BF6" w:rsidRPr="00EB2C72">
        <w:rPr>
          <w:color w:val="000000" w:themeColor="text1"/>
        </w:rPr>
        <w:t xml:space="preserve">möjligheten för kortföretag och andra som ersatt resenärer på grund av inställda resor att </w:t>
      </w:r>
      <w:proofErr w:type="spellStart"/>
      <w:r w:rsidR="00452BF6" w:rsidRPr="00EB2C72">
        <w:rPr>
          <w:color w:val="000000" w:themeColor="text1"/>
        </w:rPr>
        <w:t>regressvis</w:t>
      </w:r>
      <w:proofErr w:type="spellEnd"/>
      <w:r w:rsidR="00452BF6" w:rsidRPr="00EB2C72">
        <w:rPr>
          <w:color w:val="000000" w:themeColor="text1"/>
        </w:rPr>
        <w:t xml:space="preserve"> kunna </w:t>
      </w:r>
      <w:r w:rsidR="007C7518" w:rsidRPr="00EB2C72">
        <w:rPr>
          <w:color w:val="000000" w:themeColor="text1"/>
        </w:rPr>
        <w:t>s</w:t>
      </w:r>
      <w:r w:rsidR="00452BF6" w:rsidRPr="00EB2C72">
        <w:rPr>
          <w:color w:val="000000" w:themeColor="text1"/>
        </w:rPr>
        <w:t xml:space="preserve">öka ersättning ur resegarantin. SRF </w:t>
      </w:r>
      <w:r w:rsidR="002242FF" w:rsidRPr="00EB2C72">
        <w:rPr>
          <w:color w:val="000000" w:themeColor="text1"/>
        </w:rPr>
        <w:t xml:space="preserve">ser vidare positivt på att det införs en skyldighet för flygbolag </w:t>
      </w:r>
      <w:r w:rsidR="002242FF">
        <w:t xml:space="preserve">att ställa </w:t>
      </w:r>
      <w:r w:rsidR="00B82371">
        <w:t>garantier till skydd för resenärer om flygbolaget går i konkurs.</w:t>
      </w:r>
    </w:p>
    <w:p w14:paraId="1400FD99" w14:textId="77777777" w:rsidR="00B82371" w:rsidRDefault="00B82371" w:rsidP="00452BF6">
      <w:pPr>
        <w:ind w:left="-567" w:right="567"/>
        <w:jc w:val="both"/>
      </w:pPr>
    </w:p>
    <w:p w14:paraId="40E727DA" w14:textId="63BAB4D2" w:rsidR="00A21438" w:rsidRDefault="00302F36" w:rsidP="006C11A2">
      <w:pPr>
        <w:ind w:left="-567" w:right="567"/>
        <w:jc w:val="both"/>
      </w:pPr>
      <w:r>
        <w:t xml:space="preserve">Utredningen har dock utgått från </w:t>
      </w:r>
      <w:r w:rsidR="004C27D2">
        <w:t>vissa</w:t>
      </w:r>
      <w:r>
        <w:t xml:space="preserve"> felaktiga förutsättningar vilket medför att </w:t>
      </w:r>
      <w:r w:rsidR="00A21438">
        <w:t>det nya resegarantisystemet</w:t>
      </w:r>
      <w:r w:rsidR="00513B9F">
        <w:t xml:space="preserve"> inte kommer</w:t>
      </w:r>
      <w:r w:rsidR="00332B5E">
        <w:t xml:space="preserve"> att vara möjligt att genomföra</w:t>
      </w:r>
      <w:r w:rsidR="00A21438">
        <w:t xml:space="preserve"> på det sätt som föreslås.</w:t>
      </w:r>
    </w:p>
    <w:p w14:paraId="71C3A4C4" w14:textId="77777777" w:rsidR="00A21438" w:rsidRDefault="00A21438" w:rsidP="006C11A2">
      <w:pPr>
        <w:ind w:left="-567" w:right="567"/>
        <w:jc w:val="both"/>
      </w:pPr>
    </w:p>
    <w:p w14:paraId="1E8110CB" w14:textId="77777777" w:rsidR="00A21438" w:rsidRDefault="00A21438" w:rsidP="006C11A2">
      <w:pPr>
        <w:ind w:left="-567" w:right="567"/>
        <w:jc w:val="both"/>
      </w:pPr>
      <w:r>
        <w:t>Sammanfattningsvis har SRF följande synpunkter.</w:t>
      </w:r>
    </w:p>
    <w:p w14:paraId="0ED5147B" w14:textId="77777777" w:rsidR="00A21438" w:rsidRDefault="00A21438" w:rsidP="006C11A2">
      <w:pPr>
        <w:ind w:left="-567" w:right="567"/>
        <w:jc w:val="both"/>
      </w:pPr>
    </w:p>
    <w:p w14:paraId="388FE53A" w14:textId="532EBDAC" w:rsidR="00CE4860" w:rsidRDefault="00A21438" w:rsidP="00A21438">
      <w:pPr>
        <w:pStyle w:val="Liststycke"/>
        <w:numPr>
          <w:ilvl w:val="0"/>
          <w:numId w:val="2"/>
        </w:numPr>
        <w:ind w:right="567"/>
        <w:jc w:val="both"/>
      </w:pPr>
      <w:r>
        <w:t xml:space="preserve">För att det överhuvudtaget ska </w:t>
      </w:r>
      <w:r w:rsidR="00CE4860">
        <w:t>kunna införas ett system med en gemensam fond, krävs att staten garanterar fonden till dess att den är fullt uppbyggd.</w:t>
      </w:r>
      <w:r w:rsidR="003D4877">
        <w:t xml:space="preserve"> I annat fall kommer det nya systemet att </w:t>
      </w:r>
      <w:r w:rsidR="00D85B2A">
        <w:t>mer än fördubbla kostnaden för företagen.</w:t>
      </w:r>
      <w:r w:rsidR="00E571FD">
        <w:t xml:space="preserve"> </w:t>
      </w:r>
      <w:r w:rsidR="00E571FD" w:rsidRPr="004C27D2">
        <w:t xml:space="preserve">Vi anser mot bakgrund härav att </w:t>
      </w:r>
      <w:r w:rsidR="00A9223D" w:rsidRPr="004C27D2">
        <w:t>det inte kommer att vara möjligt att införa de föreslagna ändringarna om inte staten ställer garanti.</w:t>
      </w:r>
      <w:r w:rsidR="00E42810">
        <w:t xml:space="preserve"> </w:t>
      </w:r>
      <w:r w:rsidR="001D6CCE">
        <w:t xml:space="preserve">Om </w:t>
      </w:r>
      <w:r w:rsidR="001D6CCE">
        <w:lastRenderedPageBreak/>
        <w:t xml:space="preserve">kostnaderna </w:t>
      </w:r>
      <w:r w:rsidR="00201894">
        <w:t>ökar kraftigt kommer det att medföra en stor risk för att svenska företag väljer att ställa resegaranti i andra lände</w:t>
      </w:r>
      <w:r w:rsidR="00E42960">
        <w:t>r. För de företag som väljer att även fortsättningsvis ställa garanti i Sverige kommer de ökade kostnaderna att tas ut av kund, med dyrare paketresor för svenska konsumenter. Detta kommer i sin tur att öka risken för att svenska konsumenter köper separata resetjänster i stället för en paketresa, vilket gör att de inte omfattas av de</w:t>
      </w:r>
      <w:r w:rsidR="00D62D26">
        <w:t xml:space="preserve"> långtgående</w:t>
      </w:r>
      <w:r w:rsidR="00E42960">
        <w:t xml:space="preserve"> skyddsregler som </w:t>
      </w:r>
      <w:r w:rsidR="00D62D26">
        <w:t>finns i paketreselagen och resegarantilagen</w:t>
      </w:r>
      <w:r w:rsidR="00E42960">
        <w:t>.</w:t>
      </w:r>
      <w:r w:rsidR="00872FD1">
        <w:t xml:space="preserve"> </w:t>
      </w:r>
    </w:p>
    <w:p w14:paraId="20FE51EE" w14:textId="77777777" w:rsidR="00450221" w:rsidRDefault="00450221" w:rsidP="00450221">
      <w:pPr>
        <w:pStyle w:val="Liststycke"/>
        <w:ind w:left="-207" w:right="567"/>
        <w:jc w:val="both"/>
      </w:pPr>
    </w:p>
    <w:p w14:paraId="14705071" w14:textId="2F67E54A" w:rsidR="000B5F60" w:rsidRDefault="005B1A70" w:rsidP="00A21438">
      <w:pPr>
        <w:pStyle w:val="Liststycke"/>
        <w:numPr>
          <w:ilvl w:val="0"/>
          <w:numId w:val="2"/>
        </w:numPr>
        <w:ind w:right="567"/>
        <w:jc w:val="both"/>
        <w:rPr>
          <w:color w:val="000000" w:themeColor="text1"/>
        </w:rPr>
      </w:pPr>
      <w:r w:rsidRPr="004C27D2">
        <w:rPr>
          <w:color w:val="000000" w:themeColor="text1"/>
        </w:rPr>
        <w:t>Beräkningen av reseföretagens bidrag till fonden</w:t>
      </w:r>
      <w:r w:rsidR="000B5F60" w:rsidRPr="004C27D2">
        <w:rPr>
          <w:color w:val="000000" w:themeColor="text1"/>
        </w:rPr>
        <w:t xml:space="preserve"> måste beräknas enligt en annan modell än ett nominellt pris per resa</w:t>
      </w:r>
      <w:r w:rsidR="0043261A" w:rsidRPr="004C27D2">
        <w:rPr>
          <w:color w:val="000000" w:themeColor="text1"/>
        </w:rPr>
        <w:t xml:space="preserve"> på det sätt som </w:t>
      </w:r>
      <w:r w:rsidR="005F4245" w:rsidRPr="004C27D2">
        <w:rPr>
          <w:color w:val="000000" w:themeColor="text1"/>
        </w:rPr>
        <w:t>utredningen föreslår</w:t>
      </w:r>
      <w:r w:rsidR="000B5F60" w:rsidRPr="004C27D2">
        <w:rPr>
          <w:color w:val="000000" w:themeColor="text1"/>
        </w:rPr>
        <w:t>.</w:t>
      </w:r>
      <w:r w:rsidR="00D85B2A" w:rsidRPr="004C27D2">
        <w:rPr>
          <w:color w:val="000000" w:themeColor="text1"/>
        </w:rPr>
        <w:t xml:space="preserve"> </w:t>
      </w:r>
      <w:r w:rsidR="005F4245" w:rsidRPr="004C27D2">
        <w:rPr>
          <w:color w:val="000000" w:themeColor="text1"/>
        </w:rPr>
        <w:t>Bidrag på 40 eller 80 kronor per resa</w:t>
      </w:r>
      <w:r w:rsidR="001420DC" w:rsidRPr="004C27D2">
        <w:rPr>
          <w:color w:val="000000" w:themeColor="text1"/>
        </w:rPr>
        <w:t xml:space="preserve"> kommer</w:t>
      </w:r>
      <w:r w:rsidR="00CC1FE0" w:rsidRPr="004C27D2">
        <w:rPr>
          <w:color w:val="000000" w:themeColor="text1"/>
        </w:rPr>
        <w:t xml:space="preserve"> att medföra betydande </w:t>
      </w:r>
      <w:r w:rsidR="00CC1FE0" w:rsidRPr="0010043F">
        <w:rPr>
          <w:color w:val="000000" w:themeColor="text1"/>
        </w:rPr>
        <w:t>skillnader mellan företa</w:t>
      </w:r>
      <w:r w:rsidR="001420DC" w:rsidRPr="0010043F">
        <w:rPr>
          <w:color w:val="000000" w:themeColor="text1"/>
        </w:rPr>
        <w:t>g</w:t>
      </w:r>
      <w:r w:rsidR="00CC1FE0" w:rsidRPr="0010043F">
        <w:rPr>
          <w:color w:val="000000" w:themeColor="text1"/>
        </w:rPr>
        <w:t xml:space="preserve"> beroende </w:t>
      </w:r>
      <w:r w:rsidR="001420DC" w:rsidRPr="0010043F">
        <w:rPr>
          <w:color w:val="000000" w:themeColor="text1"/>
        </w:rPr>
        <w:t>priset på resorna</w:t>
      </w:r>
      <w:r w:rsidR="00D1705B" w:rsidRPr="0010043F">
        <w:rPr>
          <w:color w:val="000000" w:themeColor="text1"/>
        </w:rPr>
        <w:t xml:space="preserve">. För att det ska vara möjligt att beräkna </w:t>
      </w:r>
      <w:r w:rsidR="00FA6DDB" w:rsidRPr="0010043F">
        <w:rPr>
          <w:color w:val="000000" w:themeColor="text1"/>
        </w:rPr>
        <w:t xml:space="preserve">bidraget baserat på nominella belopp, måste det införas fler </w:t>
      </w:r>
      <w:r w:rsidR="000037EC" w:rsidRPr="0010043F">
        <w:rPr>
          <w:color w:val="000000" w:themeColor="text1"/>
        </w:rPr>
        <w:t>nivåer</w:t>
      </w:r>
      <w:r w:rsidR="00FA6DDB" w:rsidRPr="0010043F">
        <w:rPr>
          <w:color w:val="000000" w:themeColor="text1"/>
        </w:rPr>
        <w:t xml:space="preserve"> än bara två.</w:t>
      </w:r>
      <w:r w:rsidR="000E1485" w:rsidRPr="0010043F">
        <w:rPr>
          <w:color w:val="000000" w:themeColor="text1"/>
        </w:rPr>
        <w:t xml:space="preserve"> Om bidragen i</w:t>
      </w:r>
      <w:r w:rsidR="007D6BC6" w:rsidRPr="0010043F">
        <w:rPr>
          <w:color w:val="000000" w:themeColor="text1"/>
        </w:rPr>
        <w:t xml:space="preserve"> </w:t>
      </w:r>
      <w:r w:rsidR="000E1485" w:rsidRPr="0010043F">
        <w:rPr>
          <w:color w:val="000000" w:themeColor="text1"/>
        </w:rPr>
        <w:t xml:space="preserve">stället baseras på </w:t>
      </w:r>
      <w:r w:rsidR="005874EE" w:rsidRPr="0010043F">
        <w:rPr>
          <w:color w:val="000000" w:themeColor="text1"/>
        </w:rPr>
        <w:t>företagens omsättning kom</w:t>
      </w:r>
      <w:r w:rsidR="00424B6C" w:rsidRPr="0010043F">
        <w:rPr>
          <w:color w:val="000000" w:themeColor="text1"/>
        </w:rPr>
        <w:t>mer admin</w:t>
      </w:r>
      <w:r w:rsidR="004A2296" w:rsidRPr="0010043F">
        <w:rPr>
          <w:color w:val="000000" w:themeColor="text1"/>
        </w:rPr>
        <w:t>i</w:t>
      </w:r>
      <w:r w:rsidR="00424B6C" w:rsidRPr="0010043F">
        <w:rPr>
          <w:color w:val="000000" w:themeColor="text1"/>
        </w:rPr>
        <w:t xml:space="preserve">strationen att minska </w:t>
      </w:r>
      <w:r w:rsidR="004A2296" w:rsidRPr="0010043F">
        <w:rPr>
          <w:color w:val="000000" w:themeColor="text1"/>
        </w:rPr>
        <w:t xml:space="preserve">såväl för företagen som </w:t>
      </w:r>
      <w:r w:rsidR="000D7660" w:rsidRPr="0010043F">
        <w:rPr>
          <w:color w:val="000000" w:themeColor="text1"/>
        </w:rPr>
        <w:t xml:space="preserve">för </w:t>
      </w:r>
      <w:r w:rsidR="004A2296" w:rsidRPr="0010043F">
        <w:rPr>
          <w:color w:val="000000" w:themeColor="text1"/>
        </w:rPr>
        <w:t>Kammarkollegiet och</w:t>
      </w:r>
      <w:r w:rsidR="00EF132B" w:rsidRPr="0010043F">
        <w:rPr>
          <w:color w:val="000000" w:themeColor="text1"/>
        </w:rPr>
        <w:t xml:space="preserve"> risken för omotiverade skillnader mellan olika företags bidrag att </w:t>
      </w:r>
      <w:r w:rsidR="00BE4507" w:rsidRPr="0010043F">
        <w:rPr>
          <w:color w:val="000000" w:themeColor="text1"/>
        </w:rPr>
        <w:t>bli väsentligt mindre.</w:t>
      </w:r>
    </w:p>
    <w:p w14:paraId="374D745D" w14:textId="77777777" w:rsidR="00450221" w:rsidRPr="00450221" w:rsidRDefault="00450221" w:rsidP="00450221">
      <w:pPr>
        <w:pStyle w:val="Liststycke"/>
        <w:ind w:left="-207" w:right="567"/>
        <w:jc w:val="both"/>
        <w:rPr>
          <w:color w:val="000000" w:themeColor="text1"/>
        </w:rPr>
      </w:pPr>
    </w:p>
    <w:p w14:paraId="6BEF650D" w14:textId="27C0F26C" w:rsidR="00F61382" w:rsidRDefault="00F61382" w:rsidP="00A21438">
      <w:pPr>
        <w:pStyle w:val="Liststycke"/>
        <w:numPr>
          <w:ilvl w:val="0"/>
          <w:numId w:val="2"/>
        </w:numPr>
        <w:ind w:right="567"/>
        <w:jc w:val="both"/>
        <w:rPr>
          <w:color w:val="000000" w:themeColor="text1"/>
        </w:rPr>
      </w:pPr>
      <w:r w:rsidRPr="00450221">
        <w:rPr>
          <w:color w:val="000000" w:themeColor="text1"/>
        </w:rPr>
        <w:t>Kostnaden för företagen</w:t>
      </w:r>
      <w:r w:rsidR="00970155" w:rsidRPr="00450221">
        <w:rPr>
          <w:color w:val="000000" w:themeColor="text1"/>
        </w:rPr>
        <w:t xml:space="preserve"> att ställa resegaranti</w:t>
      </w:r>
      <w:r w:rsidRPr="00450221">
        <w:rPr>
          <w:color w:val="000000" w:themeColor="text1"/>
        </w:rPr>
        <w:t xml:space="preserve"> </w:t>
      </w:r>
      <w:r w:rsidR="00970155" w:rsidRPr="00450221">
        <w:rPr>
          <w:color w:val="000000" w:themeColor="text1"/>
        </w:rPr>
        <w:t>enligt</w:t>
      </w:r>
      <w:r w:rsidRPr="00450221">
        <w:rPr>
          <w:color w:val="000000" w:themeColor="text1"/>
        </w:rPr>
        <w:t xml:space="preserve"> det nya systemet måste bli</w:t>
      </w:r>
      <w:r w:rsidR="00636899" w:rsidRPr="00450221">
        <w:rPr>
          <w:color w:val="000000" w:themeColor="text1"/>
        </w:rPr>
        <w:t xml:space="preserve"> lägre än det nuvarande systemet. Om kostnaderna för att ställa resegaranti i Sverige blir högre medför det en överhängande risk för att företag kommer att </w:t>
      </w:r>
      <w:r w:rsidR="00970155" w:rsidRPr="00450221">
        <w:rPr>
          <w:color w:val="000000" w:themeColor="text1"/>
        </w:rPr>
        <w:t>ställa säkerhet i andra länder, vilket skulle försämra</w:t>
      </w:r>
      <w:r w:rsidR="0010043F" w:rsidRPr="00450221">
        <w:rPr>
          <w:color w:val="000000" w:themeColor="text1"/>
        </w:rPr>
        <w:t xml:space="preserve"> skyddet</w:t>
      </w:r>
      <w:r w:rsidR="00970155" w:rsidRPr="00450221">
        <w:rPr>
          <w:color w:val="000000" w:themeColor="text1"/>
        </w:rPr>
        <w:t xml:space="preserve"> för svenska resenärer.</w:t>
      </w:r>
      <w:r w:rsidR="00AB2B33" w:rsidRPr="00450221">
        <w:rPr>
          <w:color w:val="000000" w:themeColor="text1"/>
        </w:rPr>
        <w:t xml:space="preserve"> </w:t>
      </w:r>
      <w:r w:rsidR="000E6162" w:rsidRPr="00450221">
        <w:rPr>
          <w:color w:val="000000" w:themeColor="text1"/>
        </w:rPr>
        <w:t xml:space="preserve">För de företag som </w:t>
      </w:r>
      <w:r w:rsidR="00450221" w:rsidRPr="00450221">
        <w:rPr>
          <w:color w:val="000000" w:themeColor="text1"/>
        </w:rPr>
        <w:t xml:space="preserve">ändå </w:t>
      </w:r>
      <w:r w:rsidR="000E6162" w:rsidRPr="00450221">
        <w:rPr>
          <w:color w:val="000000" w:themeColor="text1"/>
        </w:rPr>
        <w:t>väljer att</w:t>
      </w:r>
      <w:r w:rsidR="00450221" w:rsidRPr="00450221">
        <w:rPr>
          <w:color w:val="000000" w:themeColor="text1"/>
        </w:rPr>
        <w:t xml:space="preserve"> fortsätta att </w:t>
      </w:r>
      <w:r w:rsidR="000E6162" w:rsidRPr="00450221">
        <w:rPr>
          <w:color w:val="000000" w:themeColor="text1"/>
        </w:rPr>
        <w:t>ställa garanti i Sverige kommer det nya systemet att medföra dyrare resor</w:t>
      </w:r>
      <w:r w:rsidR="00D134D4" w:rsidRPr="00450221">
        <w:rPr>
          <w:color w:val="000000" w:themeColor="text1"/>
        </w:rPr>
        <w:t>, vilket kommer att snedvrida konkurrensen i förhållande til</w:t>
      </w:r>
      <w:r w:rsidR="00450221" w:rsidRPr="00450221">
        <w:rPr>
          <w:color w:val="000000" w:themeColor="text1"/>
        </w:rPr>
        <w:t>l</w:t>
      </w:r>
      <w:r w:rsidR="00D134D4" w:rsidRPr="00450221">
        <w:rPr>
          <w:color w:val="000000" w:themeColor="text1"/>
        </w:rPr>
        <w:t xml:space="preserve"> de som ställer garanti i andra länder.</w:t>
      </w:r>
    </w:p>
    <w:p w14:paraId="026CD8D9" w14:textId="77777777" w:rsidR="00450221" w:rsidRPr="00450221" w:rsidRDefault="00450221" w:rsidP="00450221">
      <w:pPr>
        <w:ind w:right="567"/>
        <w:jc w:val="both"/>
        <w:rPr>
          <w:color w:val="000000" w:themeColor="text1"/>
        </w:rPr>
      </w:pPr>
    </w:p>
    <w:p w14:paraId="515526C1" w14:textId="2999265A" w:rsidR="009C1B02" w:rsidRDefault="007753C6" w:rsidP="00A21438">
      <w:pPr>
        <w:pStyle w:val="Liststycke"/>
        <w:numPr>
          <w:ilvl w:val="0"/>
          <w:numId w:val="2"/>
        </w:numPr>
        <w:ind w:right="567"/>
        <w:jc w:val="both"/>
      </w:pPr>
      <w:r>
        <w:t xml:space="preserve">Eftersom </w:t>
      </w:r>
      <w:r w:rsidR="00117163">
        <w:t xml:space="preserve">reseföretagen när fonden </w:t>
      </w:r>
      <w:r w:rsidR="00DB4E35">
        <w:t>väl har nått målkapitalet inte längre ska betala in b</w:t>
      </w:r>
      <w:r w:rsidR="00BE4507">
        <w:t>i</w:t>
      </w:r>
      <w:r w:rsidR="00DB4E35">
        <w:t>drag till fonden, måste det införas någon form av inträdesavgift</w:t>
      </w:r>
      <w:r w:rsidR="00864511">
        <w:t>, alternativt att det införs en högre indiv</w:t>
      </w:r>
      <w:r w:rsidR="00E2724E">
        <w:t xml:space="preserve">iduell garanti för </w:t>
      </w:r>
      <w:r w:rsidR="00864511">
        <w:t>nya reseföretag som tillkommer därefter</w:t>
      </w:r>
      <w:r w:rsidR="00E2724E">
        <w:t>.</w:t>
      </w:r>
      <w:r w:rsidR="00864511">
        <w:t xml:space="preserve"> </w:t>
      </w:r>
      <w:r w:rsidR="00BE4507">
        <w:t>I annat fall kommer befintliga företag att ha byggt upp en fond som nya företag drar nytta av</w:t>
      </w:r>
      <w:r w:rsidR="00531B4D">
        <w:t xml:space="preserve"> utan att betala för det. Nya för</w:t>
      </w:r>
      <w:r w:rsidR="000D7660">
        <w:t>e</w:t>
      </w:r>
      <w:r w:rsidR="00531B4D">
        <w:t>tag som tillkommer efter det att fonden är uppbyggd bör därför inledningsv</w:t>
      </w:r>
      <w:r w:rsidR="00DA30FF">
        <w:t>is ställa en högre individuell garanti.</w:t>
      </w:r>
    </w:p>
    <w:p w14:paraId="34F55127" w14:textId="77777777" w:rsidR="00450221" w:rsidRDefault="00450221" w:rsidP="00450221">
      <w:pPr>
        <w:ind w:right="567"/>
        <w:jc w:val="both"/>
      </w:pPr>
    </w:p>
    <w:p w14:paraId="3A0A0C4D" w14:textId="36095FAA" w:rsidR="00B50716" w:rsidRDefault="00B50716" w:rsidP="00A21438">
      <w:pPr>
        <w:pStyle w:val="Liststycke"/>
        <w:numPr>
          <w:ilvl w:val="0"/>
          <w:numId w:val="2"/>
        </w:numPr>
        <w:ind w:right="567"/>
        <w:jc w:val="both"/>
      </w:pPr>
      <w:r w:rsidRPr="00A50836">
        <w:t xml:space="preserve">Flygbolagsfonden </w:t>
      </w:r>
      <w:r w:rsidR="00450221" w:rsidRPr="00A50836">
        <w:t>ska enligt förslaget</w:t>
      </w:r>
      <w:r w:rsidR="008144C2" w:rsidRPr="00A50836">
        <w:t xml:space="preserve"> vara begränsad till hemtagning av strandsatta resenärer</w:t>
      </w:r>
      <w:r w:rsidR="00450221" w:rsidRPr="00A50836">
        <w:t xml:space="preserve">. </w:t>
      </w:r>
      <w:r w:rsidR="00A72BB8" w:rsidRPr="00A50836">
        <w:t xml:space="preserve">En fond som </w:t>
      </w:r>
      <w:r w:rsidR="008144C2" w:rsidRPr="00A50836">
        <w:t>även omfatta</w:t>
      </w:r>
      <w:r w:rsidR="00A72BB8" w:rsidRPr="00A50836">
        <w:t>r</w:t>
      </w:r>
      <w:r w:rsidR="008144C2" w:rsidRPr="00A50836">
        <w:t xml:space="preserve"> återbetalning till resenärer vars flygningar ställs in på grund av flygbo</w:t>
      </w:r>
      <w:r w:rsidR="001A2247" w:rsidRPr="00A50836">
        <w:t>l</w:t>
      </w:r>
      <w:r w:rsidR="008144C2" w:rsidRPr="00A50836">
        <w:t>agets konkurs</w:t>
      </w:r>
      <w:r w:rsidR="002B7E6C" w:rsidRPr="00A50836">
        <w:t xml:space="preserve"> skulle medföra att </w:t>
      </w:r>
      <w:r w:rsidR="00C020D3" w:rsidRPr="00A50836">
        <w:t xml:space="preserve">konsumenter ges ett mer omfattande skydd mot att flygbolag blir insolventa. En sådan fond skulle även medföra att </w:t>
      </w:r>
      <w:r w:rsidR="00A50836" w:rsidRPr="00A50836">
        <w:t>researrangörer som på grund av bestämmelserna i paketreselagen får återbetala till resenärer samt kortföretag som får återbetala till resenärer skulle kompenseras.</w:t>
      </w:r>
    </w:p>
    <w:p w14:paraId="5FC6F570" w14:textId="77777777" w:rsidR="00A50836" w:rsidRPr="00A50836" w:rsidRDefault="00A50836" w:rsidP="00A50836">
      <w:pPr>
        <w:ind w:right="567"/>
        <w:jc w:val="both"/>
      </w:pPr>
    </w:p>
    <w:p w14:paraId="3DC2B5CF" w14:textId="77777777" w:rsidR="000348BF" w:rsidRDefault="00B50716" w:rsidP="000348BF">
      <w:pPr>
        <w:pStyle w:val="Liststycke"/>
        <w:numPr>
          <w:ilvl w:val="0"/>
          <w:numId w:val="2"/>
        </w:numPr>
        <w:ind w:right="567"/>
        <w:jc w:val="both"/>
      </w:pPr>
      <w:r>
        <w:t>S</w:t>
      </w:r>
      <w:r w:rsidR="00752ED5">
        <w:t xml:space="preserve">killnaden </w:t>
      </w:r>
      <w:proofErr w:type="gramStart"/>
      <w:r w:rsidR="00752ED5">
        <w:t xml:space="preserve">mellan </w:t>
      </w:r>
      <w:r w:rsidR="000A59B4">
        <w:t>researrangörers</w:t>
      </w:r>
      <w:r w:rsidR="009037CA">
        <w:t xml:space="preserve"> bidrag till</w:t>
      </w:r>
      <w:proofErr w:type="gramEnd"/>
      <w:r w:rsidR="009037CA">
        <w:t xml:space="preserve"> resegarantifonden</w:t>
      </w:r>
      <w:r w:rsidR="000A59B4">
        <w:t xml:space="preserve"> respektive flygbolags bidrag till </w:t>
      </w:r>
      <w:r w:rsidR="009037CA">
        <w:t>hemtagnings</w:t>
      </w:r>
      <w:r w:rsidR="000A59B4">
        <w:t xml:space="preserve">fonden </w:t>
      </w:r>
      <w:r>
        <w:t xml:space="preserve">måste minskas. </w:t>
      </w:r>
      <w:r w:rsidR="004E5DA7">
        <w:t xml:space="preserve">Enligt förslaget ska flygbolagen betala tre kronor per resa, medan arrangörer </w:t>
      </w:r>
      <w:r w:rsidR="000E1EB4">
        <w:t>ska betala</w:t>
      </w:r>
      <w:r w:rsidR="004E5DA7">
        <w:t xml:space="preserve"> 40 eller 80 kronor per resa. </w:t>
      </w:r>
      <w:r w:rsidR="005063F9">
        <w:t>Den stora skillnaden är omotiverad och riskerar att styra resenärer till att i</w:t>
      </w:r>
      <w:r w:rsidR="007904B2">
        <w:t xml:space="preserve"> </w:t>
      </w:r>
      <w:r w:rsidR="005063F9">
        <w:t xml:space="preserve">stället </w:t>
      </w:r>
      <w:r w:rsidR="004F3C11">
        <w:t>boka resetjänster själva och därmed gå miste om det skydd som paketreselagen och resegarantilagen ger</w:t>
      </w:r>
      <w:r w:rsidR="000348BF">
        <w:t>.</w:t>
      </w:r>
    </w:p>
    <w:p w14:paraId="71C58F40" w14:textId="77777777" w:rsidR="000348BF" w:rsidRPr="000348BF" w:rsidRDefault="000348BF" w:rsidP="000348BF">
      <w:pPr>
        <w:pStyle w:val="Liststycke"/>
        <w:rPr>
          <w:rFonts w:cs="Times New Roman"/>
          <w:i/>
          <w:iCs/>
          <w:sz w:val="22"/>
          <w:szCs w:val="22"/>
        </w:rPr>
      </w:pPr>
    </w:p>
    <w:p w14:paraId="5886B7B4" w14:textId="77777777" w:rsidR="000348BF" w:rsidRPr="000348BF" w:rsidRDefault="000348BF" w:rsidP="000348BF">
      <w:pPr>
        <w:pStyle w:val="Liststycke"/>
        <w:ind w:left="-207" w:right="567"/>
        <w:jc w:val="both"/>
      </w:pPr>
    </w:p>
    <w:p w14:paraId="30C13947" w14:textId="2708DADF" w:rsidR="000348BF" w:rsidRPr="000348BF" w:rsidRDefault="000348BF" w:rsidP="006C11A2">
      <w:pPr>
        <w:ind w:left="-567" w:right="567"/>
        <w:jc w:val="both"/>
        <w:rPr>
          <w:rFonts w:cs="Times New Roman"/>
          <w:i/>
          <w:iCs/>
          <w:sz w:val="22"/>
          <w:szCs w:val="22"/>
        </w:rPr>
      </w:pPr>
      <w:r w:rsidRPr="000348BF">
        <w:rPr>
          <w:rFonts w:cs="Times New Roman"/>
          <w:i/>
          <w:iCs/>
          <w:sz w:val="22"/>
          <w:szCs w:val="22"/>
        </w:rPr>
        <w:t>Förslag till nytt resegarantisystem</w:t>
      </w:r>
      <w:r>
        <w:rPr>
          <w:rFonts w:cs="Times New Roman"/>
          <w:i/>
          <w:iCs/>
          <w:sz w:val="22"/>
          <w:szCs w:val="22"/>
        </w:rPr>
        <w:t>/Statlig garanti</w:t>
      </w:r>
    </w:p>
    <w:p w14:paraId="194ECD26" w14:textId="1E2C9E4A" w:rsidR="00146D4C" w:rsidRDefault="001E089A" w:rsidP="006C11A2">
      <w:pPr>
        <w:ind w:left="-567" w:right="567"/>
        <w:jc w:val="both"/>
      </w:pPr>
      <w:r>
        <w:rPr>
          <w:rFonts w:cs="Times New Roman"/>
          <w:sz w:val="22"/>
          <w:szCs w:val="22"/>
        </w:rPr>
        <w:lastRenderedPageBreak/>
        <w:t>Utredningen föreslår att resegarantisystemet förändras på så sätt att det i</w:t>
      </w:r>
      <w:r w:rsidR="007D6BC6">
        <w:rPr>
          <w:rFonts w:cs="Times New Roman"/>
          <w:sz w:val="22"/>
          <w:szCs w:val="22"/>
        </w:rPr>
        <w:t xml:space="preserve"> </w:t>
      </w:r>
      <w:r>
        <w:rPr>
          <w:rFonts w:cs="Times New Roman"/>
          <w:sz w:val="22"/>
          <w:szCs w:val="22"/>
        </w:rPr>
        <w:t>stället för ett system baserat enbart på individuella garantier, införs ett system med lägre individuella garantier kombinerat med en fond.</w:t>
      </w:r>
      <w:r w:rsidR="00277F26">
        <w:rPr>
          <w:rFonts w:cs="Times New Roman"/>
          <w:sz w:val="22"/>
          <w:szCs w:val="22"/>
        </w:rPr>
        <w:t xml:space="preserve"> </w:t>
      </w:r>
      <w:r w:rsidR="00277F26">
        <w:t>Förslaget i denna del välkomnas</w:t>
      </w:r>
      <w:r w:rsidR="00EC5CA5">
        <w:t xml:space="preserve"> </w:t>
      </w:r>
      <w:r w:rsidR="0076673C">
        <w:t>rent principiellt</w:t>
      </w:r>
      <w:r w:rsidR="00277F26">
        <w:t xml:space="preserve">, eftersom det kraftigt skulle minska såväl kostnader som </w:t>
      </w:r>
      <w:r w:rsidR="00EC5CA5">
        <w:t xml:space="preserve">administrationen </w:t>
      </w:r>
      <w:r w:rsidR="00277F26">
        <w:t>för arrangörerna. En fondlösning skulle även medföra ett bättre skydd för konsumenter eftersom risken för att en ställd garanti är för låg och därmed medför att resenärer inte får full återbetalning försvinner.</w:t>
      </w:r>
    </w:p>
    <w:p w14:paraId="25F6C73C" w14:textId="77777777" w:rsidR="00802144" w:rsidRDefault="00802144" w:rsidP="006C11A2">
      <w:pPr>
        <w:ind w:left="-567" w:right="567"/>
        <w:jc w:val="both"/>
      </w:pPr>
    </w:p>
    <w:p w14:paraId="0677E890" w14:textId="32381C7F" w:rsidR="002F078F" w:rsidRDefault="00802144" w:rsidP="00ED6551">
      <w:pPr>
        <w:ind w:left="-567" w:right="567"/>
        <w:jc w:val="both"/>
      </w:pPr>
      <w:r>
        <w:t xml:space="preserve">Enligt förslaget ska de individuella garantierna minskas </w:t>
      </w:r>
      <w:r w:rsidR="004A0B99">
        <w:t>gradvis i takt med att fonden byggs upp. Det innebär att arrangörer</w:t>
      </w:r>
      <w:r w:rsidR="00F228AD">
        <w:t>, samtidigt som inbetalning ska ske till fonden med ett visst belopp per resenär,</w:t>
      </w:r>
      <w:r w:rsidR="004A0B99">
        <w:t xml:space="preserve"> ska fortsätta att ställa 100 % individuell garanti fram till dess att fonden uppnått </w:t>
      </w:r>
      <w:r w:rsidR="00245A35">
        <w:t xml:space="preserve">en viss nivå, vilket </w:t>
      </w:r>
      <w:r w:rsidR="00D6502A">
        <w:t>enligt</w:t>
      </w:r>
      <w:r w:rsidR="00245A35">
        <w:t xml:space="preserve"> utredningens </w:t>
      </w:r>
      <w:r w:rsidR="00D6502A">
        <w:t>uträkningar kan</w:t>
      </w:r>
      <w:r w:rsidR="00245A35">
        <w:t xml:space="preserve"> beräknas ta</w:t>
      </w:r>
      <w:r w:rsidR="00D6502A">
        <w:t xml:space="preserve"> cirka</w:t>
      </w:r>
      <w:r w:rsidR="00245A35">
        <w:t xml:space="preserve"> ett år. </w:t>
      </w:r>
      <w:r w:rsidR="00F228AD">
        <w:t>Detta innebär att förslaget, i</w:t>
      </w:r>
      <w:r w:rsidR="007D6BC6">
        <w:t xml:space="preserve"> </w:t>
      </w:r>
      <w:r w:rsidR="00F228AD">
        <w:t xml:space="preserve">stället för att minska kostnaderna, </w:t>
      </w:r>
      <w:r w:rsidR="00D6502A">
        <w:t>kraftigt</w:t>
      </w:r>
      <w:r w:rsidR="00D31596">
        <w:t xml:space="preserve"> kommer att</w:t>
      </w:r>
      <w:r w:rsidR="00F228AD">
        <w:t xml:space="preserve"> öka företagens kostnader</w:t>
      </w:r>
      <w:r w:rsidR="00D6502A">
        <w:t xml:space="preserve"> under uppbyggnadsfasen.</w:t>
      </w:r>
      <w:r w:rsidR="00A22A95">
        <w:t xml:space="preserve"> </w:t>
      </w:r>
      <w:r w:rsidR="002F078F">
        <w:t>Detta skulle slå hårt mot en bransch s</w:t>
      </w:r>
      <w:r w:rsidR="00202081">
        <w:t>om drabbades</w:t>
      </w:r>
      <w:r w:rsidR="00602D8C">
        <w:t xml:space="preserve"> av pandemin</w:t>
      </w:r>
      <w:r w:rsidR="00202081">
        <w:t xml:space="preserve"> hårdare</w:t>
      </w:r>
      <w:r w:rsidR="00323D06">
        <w:t xml:space="preserve"> och under en längre tid</w:t>
      </w:r>
      <w:r w:rsidR="00202081">
        <w:t xml:space="preserve"> än de flesta andra branscher och som även drabbas hårt av </w:t>
      </w:r>
      <w:r w:rsidR="002B2977">
        <w:t>den osäkra omvärldssituation som därefter har rå</w:t>
      </w:r>
      <w:r w:rsidR="00F84AD6">
        <w:t>t</w:t>
      </w:r>
      <w:r w:rsidR="002B2977">
        <w:t xml:space="preserve">t, med krig i Ukraina, ökade bränslepriser, sjunkande valuta och </w:t>
      </w:r>
      <w:r w:rsidR="00CD63C2">
        <w:t>lågkonjunktur</w:t>
      </w:r>
      <w:r w:rsidR="008F65FB">
        <w:t xml:space="preserve">. Som förslaget är utformat skulle med stor sannolikhet </w:t>
      </w:r>
      <w:r w:rsidR="00F84AD6">
        <w:t>ett stort antal reseföretag inte ha möjlighet att fortsätta sin verksamhet</w:t>
      </w:r>
      <w:r w:rsidR="00B404C1">
        <w:t xml:space="preserve">, alternativt </w:t>
      </w:r>
      <w:r w:rsidR="000E1EB4">
        <w:t>tvingas flytta</w:t>
      </w:r>
      <w:r w:rsidR="00B404C1">
        <w:t xml:space="preserve"> verksamheten utomlands.</w:t>
      </w:r>
    </w:p>
    <w:p w14:paraId="3ECCD31C" w14:textId="77777777" w:rsidR="002F078F" w:rsidRDefault="002F078F" w:rsidP="00ED6551">
      <w:pPr>
        <w:ind w:left="-567" w:right="567"/>
        <w:jc w:val="both"/>
      </w:pPr>
    </w:p>
    <w:p w14:paraId="542C7EB0" w14:textId="0EDEA0BD" w:rsidR="00ED6551" w:rsidRDefault="00A22A95" w:rsidP="00ED6551">
      <w:pPr>
        <w:ind w:left="-567" w:right="567"/>
        <w:jc w:val="both"/>
      </w:pPr>
      <w:r>
        <w:t xml:space="preserve">Detta problem </w:t>
      </w:r>
      <w:r w:rsidR="005252C5">
        <w:t xml:space="preserve">uppkommer inte om </w:t>
      </w:r>
      <w:r w:rsidR="00FB2C4D">
        <w:t>staten garanterar fonden till dess att den byggts upp till målnivån.</w:t>
      </w:r>
      <w:r w:rsidR="00D6502A">
        <w:t xml:space="preserve"> Här noteras att utredning</w:t>
      </w:r>
      <w:r w:rsidR="006B68DB">
        <w:t>s</w:t>
      </w:r>
      <w:r w:rsidR="00D6502A">
        <w:t>direktiv</w:t>
      </w:r>
      <w:r w:rsidR="006B68DB">
        <w:t>en</w:t>
      </w:r>
      <w:r w:rsidR="00D6502A">
        <w:t xml:space="preserve"> uttrycklig</w:t>
      </w:r>
      <w:r w:rsidR="006B68DB">
        <w:t>en</w:t>
      </w:r>
      <w:r w:rsidR="00D6502A">
        <w:t xml:space="preserve"> stadga</w:t>
      </w:r>
      <w:r w:rsidR="006B68DB">
        <w:t>r</w:t>
      </w:r>
      <w:r w:rsidR="00D6502A">
        <w:t xml:space="preserve"> att </w:t>
      </w:r>
      <w:r w:rsidR="006B68DB">
        <w:t>eventuella förslag</w:t>
      </w:r>
      <w:r w:rsidR="00B7240B">
        <w:t xml:space="preserve"> inte får innebära statlig finansiering.</w:t>
      </w:r>
      <w:r w:rsidR="00FB2C4D">
        <w:t xml:space="preserve"> </w:t>
      </w:r>
      <w:r w:rsidR="00520192">
        <w:t>Utredningen har dock, enligt vår uppfattning, övertolkat direktivet i de</w:t>
      </w:r>
      <w:r w:rsidR="00ED6551">
        <w:t>t</w:t>
      </w:r>
      <w:r w:rsidR="00520192">
        <w:t xml:space="preserve"> att den jämställer en statlig garanti under uppbyggnadsfasen</w:t>
      </w:r>
      <w:r w:rsidR="001038A6">
        <w:t xml:space="preserve"> av fonden</w:t>
      </w:r>
      <w:r w:rsidR="00520192">
        <w:t xml:space="preserve"> med statlig finansiering.</w:t>
      </w:r>
      <w:r w:rsidR="00ED6551">
        <w:t xml:space="preserve"> En statlig garanti under uppbyggnadsfasen skulle medföra att arrangörernas individuella garantier redan från den dag då lagstiftningen träder i kraft kan minskas till 25 %. Om staten under uppbyggnadsfasen skulle vara tvungen att infria garantin, får staten motsvarande fordran mot fonden, vilket gör att återbetalningen är tryggad. </w:t>
      </w:r>
      <w:r w:rsidR="000466DE">
        <w:t>En garanti skulle d</w:t>
      </w:r>
      <w:r w:rsidR="00ED6551">
        <w:t xml:space="preserve">ärmed inte </w:t>
      </w:r>
      <w:r w:rsidR="000466DE">
        <w:t xml:space="preserve">innebära </w:t>
      </w:r>
      <w:r w:rsidR="00ED6551">
        <w:t>någon kostnad för skattebetalarna.</w:t>
      </w:r>
      <w:r w:rsidR="001038A6">
        <w:t xml:space="preserve"> Risken för att statens garanti ska behöva infrias kommer vidare att snabbt minska i takt med att fonden tillförs kapital.</w:t>
      </w:r>
    </w:p>
    <w:p w14:paraId="4A0501F3" w14:textId="77777777" w:rsidR="00ED6551" w:rsidRDefault="00ED6551" w:rsidP="00ED6551">
      <w:pPr>
        <w:ind w:left="-567" w:right="567"/>
        <w:jc w:val="both"/>
      </w:pPr>
    </w:p>
    <w:p w14:paraId="33FB832B" w14:textId="75AAE482" w:rsidR="000466DE" w:rsidRDefault="00124AA4" w:rsidP="00A36281">
      <w:pPr>
        <w:ind w:left="-567" w:right="567"/>
        <w:jc w:val="both"/>
      </w:pPr>
      <w:r>
        <w:t>Covid19-p</w:t>
      </w:r>
      <w:r w:rsidR="00A5453D">
        <w:t>andemin</w:t>
      </w:r>
      <w:r>
        <w:t xml:space="preserve"> har medfört att flera medlemsstater genomfört eller utreder en revision</w:t>
      </w:r>
      <w:r w:rsidR="00ED6551">
        <w:t xml:space="preserve"> av </w:t>
      </w:r>
      <w:r w:rsidR="004833CE">
        <w:t xml:space="preserve">de nationella </w:t>
      </w:r>
      <w:r w:rsidR="00ED6551">
        <w:t>resegarantisystem</w:t>
      </w:r>
      <w:r w:rsidR="004833CE">
        <w:t>en</w:t>
      </w:r>
      <w:r>
        <w:t>. I</w:t>
      </w:r>
      <w:r w:rsidR="004833CE">
        <w:t xml:space="preserve"> </w:t>
      </w:r>
      <w:r w:rsidR="00ED6551">
        <w:t>Tyskland</w:t>
      </w:r>
      <w:r w:rsidR="00785BC2">
        <w:t xml:space="preserve"> har man nyligen infört</w:t>
      </w:r>
      <w:r w:rsidR="004833CE">
        <w:t xml:space="preserve"> ett</w:t>
      </w:r>
      <w:r w:rsidR="00785BC2">
        <w:t xml:space="preserve"> nytt resegaranti</w:t>
      </w:r>
      <w:r w:rsidR="004833CE">
        <w:t>system liknande det som utredningen</w:t>
      </w:r>
      <w:r w:rsidR="00785BC2">
        <w:t xml:space="preserve"> nu</w:t>
      </w:r>
      <w:r w:rsidR="004833CE">
        <w:t xml:space="preserve"> föreslår</w:t>
      </w:r>
      <w:r w:rsidR="00ED6551">
        <w:t>. Där har staten garanterat fonden under uppbyggnadsfasen, vilket innebär att hela det nya systemet k</w:t>
      </w:r>
      <w:r w:rsidR="006B720D">
        <w:t>unde</w:t>
      </w:r>
      <w:r w:rsidR="00ED6551">
        <w:t xml:space="preserve"> träda i kraft omgående.</w:t>
      </w:r>
    </w:p>
    <w:p w14:paraId="0D886A3C" w14:textId="77777777" w:rsidR="00A36281" w:rsidRDefault="00A36281" w:rsidP="00A36281">
      <w:pPr>
        <w:ind w:left="-567" w:right="567"/>
        <w:jc w:val="both"/>
      </w:pPr>
    </w:p>
    <w:p w14:paraId="4ADE0B98" w14:textId="77777777" w:rsidR="000348BF" w:rsidRDefault="00A36281" w:rsidP="000348BF">
      <w:pPr>
        <w:ind w:left="-567" w:right="567"/>
        <w:jc w:val="both"/>
      </w:pPr>
      <w:r>
        <w:t>Utredningens förslag</w:t>
      </w:r>
      <w:r w:rsidR="007C68B5">
        <w:t xml:space="preserve"> innebär ett utökat skydd för resenärer eftersom även återbetalningskrav och vissa värd</w:t>
      </w:r>
      <w:r w:rsidR="00F726CF">
        <w:t>e</w:t>
      </w:r>
      <w:r w:rsidR="007C68B5">
        <w:t xml:space="preserve">bevis </w:t>
      </w:r>
      <w:r w:rsidR="00F726CF">
        <w:t>föreslås omfattas av garantin. Arrangörernas</w:t>
      </w:r>
      <w:r w:rsidR="006B720D">
        <w:t xml:space="preserve"> nuvarande</w:t>
      </w:r>
      <w:r w:rsidR="00F726CF">
        <w:t xml:space="preserve"> </w:t>
      </w:r>
      <w:r w:rsidR="00C73C10">
        <w:t xml:space="preserve">individuella garantier har dock inte beräknats utifrån att även denna typ av fordringar ska vara täckta. Det innebär att </w:t>
      </w:r>
      <w:r w:rsidR="00CB785C">
        <w:t>det utökade skyddet föreslås träda i kraft först efter fem år</w:t>
      </w:r>
      <w:r w:rsidR="007D3E15">
        <w:t xml:space="preserve"> när fonden är </w:t>
      </w:r>
      <w:r w:rsidR="0015404C">
        <w:t>uppbyggd</w:t>
      </w:r>
      <w:r w:rsidR="00CB785C">
        <w:t xml:space="preserve">. Även detta problem skulle lösas </w:t>
      </w:r>
      <w:r w:rsidR="000443B4">
        <w:t>om</w:t>
      </w:r>
      <w:r w:rsidR="00CB785C">
        <w:t xml:space="preserve"> staten garantera</w:t>
      </w:r>
      <w:r w:rsidR="000443B4">
        <w:t>de</w:t>
      </w:r>
      <w:r w:rsidR="00CB785C">
        <w:t xml:space="preserve"> fonden under uppbyggnadsfasen. </w:t>
      </w:r>
      <w:r w:rsidR="000443B4">
        <w:t xml:space="preserve">På samma sätt som i Tyskland kan </w:t>
      </w:r>
      <w:r w:rsidR="006C6906">
        <w:t>även</w:t>
      </w:r>
      <w:r w:rsidR="00045008">
        <w:t xml:space="preserve"> </w:t>
      </w:r>
      <w:r w:rsidR="006C6906">
        <w:t>det utökade konsumentskyddet</w:t>
      </w:r>
      <w:r w:rsidR="00045008">
        <w:t xml:space="preserve"> träda i kraft redan från början.</w:t>
      </w:r>
    </w:p>
    <w:p w14:paraId="2A8A8613" w14:textId="77777777" w:rsidR="000348BF" w:rsidRDefault="000348BF" w:rsidP="000348BF">
      <w:pPr>
        <w:ind w:left="-567" w:right="567"/>
        <w:jc w:val="both"/>
      </w:pPr>
    </w:p>
    <w:p w14:paraId="47356BD5" w14:textId="436F93EB" w:rsidR="0015404C" w:rsidRPr="000348BF" w:rsidRDefault="003260FB" w:rsidP="000348BF">
      <w:pPr>
        <w:ind w:left="-567" w:right="567"/>
        <w:jc w:val="both"/>
      </w:pPr>
      <w:r w:rsidRPr="000348BF">
        <w:rPr>
          <w:i/>
          <w:iCs/>
        </w:rPr>
        <w:t>Beräkning av reseföretagens bidrag till fonden</w:t>
      </w:r>
    </w:p>
    <w:p w14:paraId="40067820" w14:textId="6C354C0A" w:rsidR="00266533" w:rsidRDefault="00E15217" w:rsidP="00A36281">
      <w:pPr>
        <w:ind w:left="-567" w:right="567"/>
        <w:jc w:val="both"/>
      </w:pPr>
      <w:r>
        <w:lastRenderedPageBreak/>
        <w:t>När det gäller uppbyggnaden av fonden</w:t>
      </w:r>
      <w:r w:rsidR="00266533">
        <w:t xml:space="preserve"> föreslår</w:t>
      </w:r>
      <w:r>
        <w:t xml:space="preserve"> utredningen att detta</w:t>
      </w:r>
      <w:r w:rsidR="00A23E48">
        <w:t xml:space="preserve"> ska ske genom att varje paketresearr</w:t>
      </w:r>
      <w:r w:rsidR="000B5DC4">
        <w:t>a</w:t>
      </w:r>
      <w:r w:rsidR="00A23E48">
        <w:t>ngör betalar 40 kr/paketresa vars pris understiger 5 000 kr och 80 kr/</w:t>
      </w:r>
      <w:r w:rsidR="000B5DC4">
        <w:t>paketresa vars pris överstiger 5 000 kr.</w:t>
      </w:r>
      <w:r>
        <w:t xml:space="preserve"> Utredningen utgår härvid från att alla arrangörer </w:t>
      </w:r>
      <w:r w:rsidR="00417796">
        <w:t>ska lägga på 4</w:t>
      </w:r>
      <w:r w:rsidR="003260FB">
        <w:t>0</w:t>
      </w:r>
      <w:r w:rsidR="00417796">
        <w:t xml:space="preserve"> respektive 80 kr på paketresans pris, så att det i slutändan blir konsumenterna som bekostar fonden. Denna utgångspunkt är dock felaktig.</w:t>
      </w:r>
      <w:r w:rsidR="00E728DC">
        <w:t xml:space="preserve"> Konsumenter som köper resor </w:t>
      </w:r>
      <w:r w:rsidR="003D3454">
        <w:t xml:space="preserve">är </w:t>
      </w:r>
      <w:r w:rsidR="00E728DC">
        <w:t>mycket prismedvetna och redan några kronors skillnad kan medföra att en konsument väljer att resa med en annan arrangör.</w:t>
      </w:r>
      <w:r w:rsidR="00A40F51">
        <w:t xml:space="preserve"> Redan idag konkurrerar svenska företag med researrangörer från andra EU-länder. Dessa kommer inte att behöva betala in till fonden, vilket gör att konkurrensen snedvrids.</w:t>
      </w:r>
      <w:r w:rsidR="00006EB9">
        <w:t xml:space="preserve"> Prisskillnaden medför även en risk för att kunden styrs till att i</w:t>
      </w:r>
      <w:r w:rsidR="007D6BC6">
        <w:t xml:space="preserve"> </w:t>
      </w:r>
      <w:r w:rsidR="00006EB9">
        <w:t>stället boka flygbiljett själv direkt hos flygbolaget och boka hotell via någon av hotellbokningssajterna.</w:t>
      </w:r>
      <w:r w:rsidR="00A40F51">
        <w:t xml:space="preserve"> </w:t>
      </w:r>
      <w:r w:rsidR="00E728DC">
        <w:t>Vi</w:t>
      </w:r>
      <w:r w:rsidR="0077393F">
        <w:t>d</w:t>
      </w:r>
      <w:r w:rsidR="00E728DC">
        <w:t xml:space="preserve"> kontakter med våra medlemmar har framkommit att majoriteten anser sig inte </w:t>
      </w:r>
      <w:r w:rsidR="0077393F">
        <w:t>ha möjlighet att</w:t>
      </w:r>
      <w:r w:rsidR="00E728DC">
        <w:t xml:space="preserve"> lägga på 40 eller 80 kronor på priset. Det innebär att arrangörerna kommer att vara tvungna att </w:t>
      </w:r>
      <w:r w:rsidR="00573C47">
        <w:t xml:space="preserve">betala </w:t>
      </w:r>
      <w:r w:rsidR="00FA405E">
        <w:t>bidraget</w:t>
      </w:r>
      <w:r w:rsidR="00573C47">
        <w:t xml:space="preserve"> med egna medel.</w:t>
      </w:r>
      <w:r w:rsidR="00AF3987">
        <w:t xml:space="preserve"> Utredningen </w:t>
      </w:r>
      <w:r w:rsidR="00FA405E">
        <w:t>uppger</w:t>
      </w:r>
      <w:r w:rsidR="00AF3987">
        <w:t xml:space="preserve"> att det föreslagna systemet kommer att medföra lägre kostnader för arrangörerna. Vi menar att det tvärtom kommer att bli en kraftig fördyring för arrangörerna</w:t>
      </w:r>
      <w:r w:rsidR="00650CE7">
        <w:t>.</w:t>
      </w:r>
    </w:p>
    <w:p w14:paraId="185AD433" w14:textId="77777777" w:rsidR="00650CE7" w:rsidRDefault="00650CE7" w:rsidP="00A36281">
      <w:pPr>
        <w:ind w:left="-567" w:right="567"/>
        <w:jc w:val="both"/>
      </w:pPr>
    </w:p>
    <w:p w14:paraId="5F70ADEF" w14:textId="70BABE3A" w:rsidR="000B5DC4" w:rsidRDefault="006A2D31" w:rsidP="00A36281">
      <w:pPr>
        <w:ind w:left="-567" w:right="567"/>
        <w:jc w:val="both"/>
      </w:pPr>
      <w:r>
        <w:t xml:space="preserve">Ett </w:t>
      </w:r>
      <w:r w:rsidR="00DA2A06">
        <w:t>nominellt</w:t>
      </w:r>
      <w:r>
        <w:t xml:space="preserve"> belopp per paketresa minskar administrationen jämfört med dagens system</w:t>
      </w:r>
      <w:r w:rsidR="009960B6">
        <w:t xml:space="preserve">, men förutsätter att researrangörerna måste ändra </w:t>
      </w:r>
      <w:r w:rsidR="00A228F7">
        <w:t>sina befintliga IT-</w:t>
      </w:r>
      <w:r w:rsidR="009960B6">
        <w:t>system eller utveckla nya system</w:t>
      </w:r>
      <w:r w:rsidR="00715087">
        <w:t xml:space="preserve">. Fasta belopp baserade på </w:t>
      </w:r>
      <w:r w:rsidR="00F34422">
        <w:t xml:space="preserve">resornas pris slår </w:t>
      </w:r>
      <w:r w:rsidR="00A228F7">
        <w:t>även</w:t>
      </w:r>
      <w:r w:rsidR="00D64D73">
        <w:t xml:space="preserve"> väldigt</w:t>
      </w:r>
      <w:r w:rsidR="00F34422">
        <w:t xml:space="preserve"> olika mot företagen.</w:t>
      </w:r>
      <w:r w:rsidR="00A252FA">
        <w:t xml:space="preserve"> Paketreselagens definition på en paketresa är vid och omfattar allt från</w:t>
      </w:r>
      <w:r w:rsidR="005B1227">
        <w:t xml:space="preserve"> mindre paket inom Sverige, </w:t>
      </w:r>
      <w:proofErr w:type="gramStart"/>
      <w:r w:rsidR="005B1227">
        <w:t>t.ex.</w:t>
      </w:r>
      <w:proofErr w:type="gramEnd"/>
      <w:r w:rsidR="00A252FA">
        <w:t xml:space="preserve"> e</w:t>
      </w:r>
      <w:r w:rsidR="005D4994">
        <w:t>n hotellövernattning och en teaterbiljett till</w:t>
      </w:r>
      <w:r w:rsidR="005B1227">
        <w:t xml:space="preserve"> </w:t>
      </w:r>
      <w:r w:rsidR="00126D86">
        <w:t xml:space="preserve">exklusiva </w:t>
      </w:r>
      <w:r w:rsidR="005006BC">
        <w:t xml:space="preserve">paketresor till exotiska resmål. Ett företag som säljer </w:t>
      </w:r>
      <w:r w:rsidR="00EF42C3">
        <w:t xml:space="preserve">stora volymer med </w:t>
      </w:r>
      <w:r w:rsidR="008333CC">
        <w:t xml:space="preserve">billiga </w:t>
      </w:r>
      <w:r w:rsidR="00EF42C3">
        <w:t>paketresor</w:t>
      </w:r>
      <w:r w:rsidR="00221C4F">
        <w:t xml:space="preserve"> </w:t>
      </w:r>
      <w:r w:rsidR="00EF42C3">
        <w:t xml:space="preserve">kommer därmed att få betala </w:t>
      </w:r>
      <w:r w:rsidR="00BB3EE0">
        <w:t xml:space="preserve">in </w:t>
      </w:r>
      <w:r w:rsidR="00EF42C3">
        <w:t xml:space="preserve">en väsentligt större </w:t>
      </w:r>
      <w:r w:rsidR="00BB3EE0">
        <w:t xml:space="preserve">andel till fonden än företag som specialiserat sig på </w:t>
      </w:r>
      <w:r w:rsidR="00900191">
        <w:t>exklusiva</w:t>
      </w:r>
      <w:r w:rsidR="00BB3EE0">
        <w:t xml:space="preserve"> paketresor</w:t>
      </w:r>
      <w:r w:rsidR="003833F2">
        <w:t xml:space="preserve"> och endast säljer ett </w:t>
      </w:r>
      <w:r w:rsidR="00900191">
        <w:t>mindre antal, men betydligt</w:t>
      </w:r>
      <w:r w:rsidR="003833F2">
        <w:t xml:space="preserve"> </w:t>
      </w:r>
      <w:r w:rsidR="00900191">
        <w:t xml:space="preserve">dyrare </w:t>
      </w:r>
      <w:r w:rsidR="003833F2">
        <w:t xml:space="preserve">resor. </w:t>
      </w:r>
    </w:p>
    <w:p w14:paraId="42229099" w14:textId="77777777" w:rsidR="008333CC" w:rsidRDefault="008333CC" w:rsidP="00A36281">
      <w:pPr>
        <w:ind w:left="-567" w:right="567"/>
        <w:jc w:val="both"/>
      </w:pPr>
    </w:p>
    <w:p w14:paraId="62DE8658" w14:textId="5314A43C" w:rsidR="005C7FE0" w:rsidRDefault="005C7FE0" w:rsidP="00A36281">
      <w:pPr>
        <w:ind w:left="-567" w:right="567"/>
        <w:jc w:val="both"/>
      </w:pPr>
      <w:r>
        <w:t>Exempel:</w:t>
      </w:r>
    </w:p>
    <w:tbl>
      <w:tblPr>
        <w:tblStyle w:val="Tabellrutnt"/>
        <w:tblW w:w="0" w:type="auto"/>
        <w:tblInd w:w="-567" w:type="dxa"/>
        <w:tblLook w:val="04A0" w:firstRow="1" w:lastRow="0" w:firstColumn="1" w:lastColumn="0" w:noHBand="0" w:noVBand="1"/>
      </w:tblPr>
      <w:tblGrid>
        <w:gridCol w:w="7787"/>
      </w:tblGrid>
      <w:tr w:rsidR="007C3188" w14:paraId="7396CFE7" w14:textId="77777777" w:rsidTr="007C3188">
        <w:tc>
          <w:tcPr>
            <w:tcW w:w="7787" w:type="dxa"/>
          </w:tcPr>
          <w:p w14:paraId="5ECAF122" w14:textId="4B0D2F29" w:rsidR="007C3188" w:rsidRDefault="007C3188" w:rsidP="007C3188">
            <w:pPr>
              <w:ind w:left="23" w:right="567"/>
              <w:jc w:val="both"/>
            </w:pPr>
            <w:r>
              <w:t>Företag 1 säljer hotellpaket i Sverige. Paketen består av hotellövernattning och en biljett till en teater eller en konsert. Bolaget säljer ca 40 000 paket per år och genomsnittspriset är 1 800 kr.</w:t>
            </w:r>
            <w:r w:rsidR="004075C7">
              <w:t xml:space="preserve"> Företaget har en årsomsättning på ca 72 000 000 kr.</w:t>
            </w:r>
          </w:p>
          <w:p w14:paraId="2A918C3B" w14:textId="77777777" w:rsidR="007C3188" w:rsidRDefault="007C3188" w:rsidP="007C3188">
            <w:pPr>
              <w:ind w:left="23" w:right="567"/>
              <w:jc w:val="both"/>
            </w:pPr>
          </w:p>
          <w:p w14:paraId="2CBD75F9" w14:textId="5B373D3D" w:rsidR="007C3188" w:rsidRDefault="007C3188" w:rsidP="007C3188">
            <w:pPr>
              <w:ind w:left="23" w:right="567"/>
              <w:jc w:val="both"/>
            </w:pPr>
            <w:r>
              <w:t xml:space="preserve">Företag 2 är specialiserat på resor till Västindien. Paketen består av flyg till resmålet och inkvartering på ett dyrare hotell eller en </w:t>
            </w:r>
            <w:proofErr w:type="spellStart"/>
            <w:r>
              <w:t>resort</w:t>
            </w:r>
            <w:proofErr w:type="spellEnd"/>
            <w:r>
              <w:t>. Längde</w:t>
            </w:r>
            <w:r w:rsidR="00AD55E4">
              <w:t>n</w:t>
            </w:r>
            <w:r>
              <w:t xml:space="preserve"> på paketresorna är vanligtvis två till tre veckor och genomsnittspriset per person är 150 000 kr. Företaget säljer ca 2 000 resor per år.</w:t>
            </w:r>
            <w:r w:rsidR="00486028">
              <w:t xml:space="preserve"> Företaget har en årsomsättning på ca 300 000 000 kr.</w:t>
            </w:r>
          </w:p>
          <w:p w14:paraId="1CA01224" w14:textId="77777777" w:rsidR="000D6FE4" w:rsidRDefault="000D6FE4" w:rsidP="007C3188">
            <w:pPr>
              <w:ind w:left="23" w:right="567"/>
              <w:jc w:val="both"/>
            </w:pPr>
          </w:p>
          <w:p w14:paraId="39E8BD75" w14:textId="132A0E05" w:rsidR="000D6FE4" w:rsidRDefault="000D6FE4" w:rsidP="007C3188">
            <w:pPr>
              <w:ind w:left="23" w:right="567"/>
              <w:jc w:val="both"/>
            </w:pPr>
            <w:r>
              <w:t>Företag 3</w:t>
            </w:r>
            <w:r w:rsidR="00C367E7">
              <w:t xml:space="preserve">säljer charterresor. Bolaget säljer ca 350 000 resor per år, med ett genomsnittligt pris på </w:t>
            </w:r>
            <w:r w:rsidR="00DC6A58">
              <w:t>11</w:t>
            </w:r>
            <w:r w:rsidR="00C367E7">
              <w:t> 000 kr.</w:t>
            </w:r>
            <w:r w:rsidR="006362B2">
              <w:t xml:space="preserve"> Längden på resorna är normalt en till </w:t>
            </w:r>
            <w:r w:rsidR="002751ED">
              <w:t>två veckor.</w:t>
            </w:r>
            <w:r w:rsidR="00614FC1">
              <w:t xml:space="preserve"> Bolaget har en årsomsättning på ca </w:t>
            </w:r>
            <w:r w:rsidR="00FF7C14">
              <w:t>3 miljarder kr.</w:t>
            </w:r>
          </w:p>
          <w:p w14:paraId="7B639052" w14:textId="77777777" w:rsidR="007C3188" w:rsidRDefault="007C3188" w:rsidP="007C3188">
            <w:pPr>
              <w:ind w:left="-567" w:right="567"/>
              <w:jc w:val="both"/>
            </w:pPr>
          </w:p>
          <w:tbl>
            <w:tblPr>
              <w:tblStyle w:val="Tabellrutnt"/>
              <w:tblW w:w="0" w:type="auto"/>
              <w:tblLook w:val="04A0" w:firstRow="1" w:lastRow="0" w:firstColumn="1" w:lastColumn="0" w:noHBand="0" w:noVBand="1"/>
            </w:tblPr>
            <w:tblGrid>
              <w:gridCol w:w="1880"/>
              <w:gridCol w:w="1851"/>
              <w:gridCol w:w="1676"/>
              <w:gridCol w:w="2154"/>
            </w:tblGrid>
            <w:tr w:rsidR="007C3188" w14:paraId="3ADFFB74" w14:textId="77777777" w:rsidTr="00DA5433">
              <w:tc>
                <w:tcPr>
                  <w:tcW w:w="1880" w:type="dxa"/>
                </w:tcPr>
                <w:p w14:paraId="35A482D7" w14:textId="77777777" w:rsidR="007C3188" w:rsidRDefault="007C3188" w:rsidP="007C3188">
                  <w:pPr>
                    <w:ind w:right="567"/>
                    <w:jc w:val="both"/>
                  </w:pPr>
                </w:p>
              </w:tc>
              <w:tc>
                <w:tcPr>
                  <w:tcW w:w="1851" w:type="dxa"/>
                </w:tcPr>
                <w:p w14:paraId="033C3F10" w14:textId="77777777" w:rsidR="007C3188" w:rsidRDefault="007C3188" w:rsidP="007C3188">
                  <w:pPr>
                    <w:ind w:right="567"/>
                    <w:jc w:val="both"/>
                  </w:pPr>
                  <w:r>
                    <w:t>Antal resor</w:t>
                  </w:r>
                </w:p>
              </w:tc>
              <w:tc>
                <w:tcPr>
                  <w:tcW w:w="1676" w:type="dxa"/>
                </w:tcPr>
                <w:p w14:paraId="394BEAD5" w14:textId="77777777" w:rsidR="007C3188" w:rsidRDefault="007C3188" w:rsidP="007C3188">
                  <w:pPr>
                    <w:ind w:right="567"/>
                    <w:jc w:val="both"/>
                  </w:pPr>
                  <w:r>
                    <w:t>Pris/resa</w:t>
                  </w:r>
                </w:p>
              </w:tc>
              <w:tc>
                <w:tcPr>
                  <w:tcW w:w="2154" w:type="dxa"/>
                </w:tcPr>
                <w:p w14:paraId="307CB2B1" w14:textId="77777777" w:rsidR="007C3188" w:rsidRDefault="007C3188" w:rsidP="007C3188">
                  <w:pPr>
                    <w:ind w:right="567"/>
                    <w:jc w:val="both"/>
                  </w:pPr>
                  <w:r>
                    <w:t>Totalt</w:t>
                  </w:r>
                </w:p>
              </w:tc>
            </w:tr>
            <w:tr w:rsidR="007C3188" w14:paraId="00648EAD" w14:textId="77777777" w:rsidTr="00DA5433">
              <w:tc>
                <w:tcPr>
                  <w:tcW w:w="1880" w:type="dxa"/>
                </w:tcPr>
                <w:p w14:paraId="3DBE7219" w14:textId="77777777" w:rsidR="007C3188" w:rsidRDefault="007C3188" w:rsidP="007C3188">
                  <w:pPr>
                    <w:ind w:right="567"/>
                    <w:jc w:val="both"/>
                  </w:pPr>
                  <w:r>
                    <w:t>Företag 1</w:t>
                  </w:r>
                </w:p>
              </w:tc>
              <w:tc>
                <w:tcPr>
                  <w:tcW w:w="1851" w:type="dxa"/>
                </w:tcPr>
                <w:p w14:paraId="4E2C0492" w14:textId="77777777" w:rsidR="007C3188" w:rsidRDefault="007C3188" w:rsidP="007C3188">
                  <w:pPr>
                    <w:ind w:right="567"/>
                    <w:jc w:val="both"/>
                  </w:pPr>
                  <w:r>
                    <w:t>40 000</w:t>
                  </w:r>
                </w:p>
              </w:tc>
              <w:tc>
                <w:tcPr>
                  <w:tcW w:w="1676" w:type="dxa"/>
                </w:tcPr>
                <w:p w14:paraId="09B82691" w14:textId="77777777" w:rsidR="007C3188" w:rsidRDefault="007C3188" w:rsidP="007C3188">
                  <w:pPr>
                    <w:ind w:right="567"/>
                    <w:jc w:val="both"/>
                  </w:pPr>
                  <w:r>
                    <w:t>40 kr</w:t>
                  </w:r>
                </w:p>
              </w:tc>
              <w:tc>
                <w:tcPr>
                  <w:tcW w:w="2154" w:type="dxa"/>
                </w:tcPr>
                <w:p w14:paraId="78AC2DC3" w14:textId="77777777" w:rsidR="007C3188" w:rsidRDefault="007C3188" w:rsidP="007C3188">
                  <w:pPr>
                    <w:ind w:right="567"/>
                    <w:jc w:val="both"/>
                  </w:pPr>
                  <w:r>
                    <w:t>1 600 000 kr</w:t>
                  </w:r>
                </w:p>
              </w:tc>
            </w:tr>
            <w:tr w:rsidR="007C3188" w14:paraId="2C489425" w14:textId="77777777" w:rsidTr="00DA5433">
              <w:tc>
                <w:tcPr>
                  <w:tcW w:w="1880" w:type="dxa"/>
                </w:tcPr>
                <w:p w14:paraId="2CC227A4" w14:textId="77777777" w:rsidR="007C3188" w:rsidRDefault="007C3188" w:rsidP="007C3188">
                  <w:pPr>
                    <w:ind w:right="567"/>
                    <w:jc w:val="both"/>
                  </w:pPr>
                  <w:r>
                    <w:t>Företag 2</w:t>
                  </w:r>
                </w:p>
              </w:tc>
              <w:tc>
                <w:tcPr>
                  <w:tcW w:w="1851" w:type="dxa"/>
                </w:tcPr>
                <w:p w14:paraId="2F77792D" w14:textId="77777777" w:rsidR="007C3188" w:rsidRDefault="007C3188" w:rsidP="007C3188">
                  <w:pPr>
                    <w:ind w:right="567"/>
                    <w:jc w:val="both"/>
                  </w:pPr>
                  <w:r>
                    <w:t>2 000</w:t>
                  </w:r>
                </w:p>
              </w:tc>
              <w:tc>
                <w:tcPr>
                  <w:tcW w:w="1676" w:type="dxa"/>
                </w:tcPr>
                <w:p w14:paraId="157076DC" w14:textId="77777777" w:rsidR="007C3188" w:rsidRDefault="007C3188" w:rsidP="007C3188">
                  <w:pPr>
                    <w:ind w:right="567"/>
                    <w:jc w:val="both"/>
                  </w:pPr>
                  <w:r>
                    <w:t>80 kr</w:t>
                  </w:r>
                </w:p>
              </w:tc>
              <w:tc>
                <w:tcPr>
                  <w:tcW w:w="2154" w:type="dxa"/>
                </w:tcPr>
                <w:p w14:paraId="168CA2A7" w14:textId="77777777" w:rsidR="007C3188" w:rsidRDefault="007C3188" w:rsidP="007C3188">
                  <w:pPr>
                    <w:ind w:right="567"/>
                    <w:jc w:val="both"/>
                  </w:pPr>
                  <w:r>
                    <w:t>160 000 kr</w:t>
                  </w:r>
                </w:p>
              </w:tc>
            </w:tr>
            <w:tr w:rsidR="002751ED" w14:paraId="5B506002" w14:textId="77777777" w:rsidTr="00DA5433">
              <w:tc>
                <w:tcPr>
                  <w:tcW w:w="1880" w:type="dxa"/>
                </w:tcPr>
                <w:p w14:paraId="34462277" w14:textId="2852C90F" w:rsidR="002751ED" w:rsidRDefault="002751ED" w:rsidP="007C3188">
                  <w:pPr>
                    <w:ind w:right="567"/>
                    <w:jc w:val="both"/>
                  </w:pPr>
                  <w:r>
                    <w:t>Företag 3</w:t>
                  </w:r>
                </w:p>
              </w:tc>
              <w:tc>
                <w:tcPr>
                  <w:tcW w:w="1851" w:type="dxa"/>
                </w:tcPr>
                <w:p w14:paraId="01A50D58" w14:textId="1CF55896" w:rsidR="002751ED" w:rsidRDefault="002751ED" w:rsidP="007C3188">
                  <w:pPr>
                    <w:ind w:right="567"/>
                    <w:jc w:val="both"/>
                  </w:pPr>
                  <w:r>
                    <w:t>350 000</w:t>
                  </w:r>
                </w:p>
              </w:tc>
              <w:tc>
                <w:tcPr>
                  <w:tcW w:w="1676" w:type="dxa"/>
                </w:tcPr>
                <w:p w14:paraId="33FDA1D7" w14:textId="45C3BDEA" w:rsidR="002751ED" w:rsidRDefault="002751ED" w:rsidP="007C3188">
                  <w:pPr>
                    <w:ind w:right="567"/>
                    <w:jc w:val="both"/>
                  </w:pPr>
                  <w:r>
                    <w:t>80 kr</w:t>
                  </w:r>
                </w:p>
              </w:tc>
              <w:tc>
                <w:tcPr>
                  <w:tcW w:w="2154" w:type="dxa"/>
                </w:tcPr>
                <w:p w14:paraId="243689C7" w14:textId="51B12DA0" w:rsidR="002751ED" w:rsidRDefault="00DA5433" w:rsidP="007C3188">
                  <w:pPr>
                    <w:ind w:right="567"/>
                    <w:jc w:val="both"/>
                  </w:pPr>
                  <w:r>
                    <w:t>28 000 000 kr</w:t>
                  </w:r>
                </w:p>
              </w:tc>
            </w:tr>
          </w:tbl>
          <w:p w14:paraId="146C96D7" w14:textId="77777777" w:rsidR="007C3188" w:rsidRDefault="007C3188" w:rsidP="00A36281">
            <w:pPr>
              <w:ind w:right="567"/>
              <w:jc w:val="both"/>
            </w:pPr>
          </w:p>
          <w:p w14:paraId="42EECF75" w14:textId="0432D09F" w:rsidR="007C3188" w:rsidRDefault="004075C7" w:rsidP="00A36281">
            <w:pPr>
              <w:ind w:right="567"/>
              <w:jc w:val="both"/>
            </w:pPr>
            <w:r>
              <w:lastRenderedPageBreak/>
              <w:t>Företag</w:t>
            </w:r>
            <w:r w:rsidR="00FB671B">
              <w:t xml:space="preserve"> </w:t>
            </w:r>
            <w:r>
              <w:t xml:space="preserve">1 som </w:t>
            </w:r>
            <w:r w:rsidR="009E6FDF">
              <w:t>enbart producerar resor inom Sverige och där resorna inte innefattar någon transport ska</w:t>
            </w:r>
            <w:r w:rsidR="007665D6">
              <w:t xml:space="preserve"> således</w:t>
            </w:r>
            <w:r w:rsidR="009E6FDF">
              <w:t xml:space="preserve"> </w:t>
            </w:r>
            <w:r w:rsidR="00FB671B">
              <w:t>bidra till uppbyggnaden av fonden med tio gånger så mycket som företag 2.</w:t>
            </w:r>
          </w:p>
          <w:p w14:paraId="2B8049AA" w14:textId="77777777" w:rsidR="007C3188" w:rsidRDefault="007C3188" w:rsidP="00A36281">
            <w:pPr>
              <w:ind w:right="567"/>
              <w:jc w:val="both"/>
            </w:pPr>
          </w:p>
        </w:tc>
      </w:tr>
    </w:tbl>
    <w:p w14:paraId="5EFE3B67" w14:textId="77777777" w:rsidR="003833F2" w:rsidRDefault="003833F2" w:rsidP="00A36281">
      <w:pPr>
        <w:ind w:left="-567" w:right="567"/>
        <w:jc w:val="both"/>
      </w:pPr>
    </w:p>
    <w:p w14:paraId="0F4DFF61" w14:textId="34B68AB0" w:rsidR="009960B6" w:rsidRPr="0080586B" w:rsidRDefault="009960B6" w:rsidP="00A36281">
      <w:pPr>
        <w:ind w:left="-567" w:right="567"/>
        <w:jc w:val="both"/>
        <w:rPr>
          <w:color w:val="000000" w:themeColor="text1"/>
        </w:rPr>
      </w:pPr>
      <w:r w:rsidRPr="0080586B">
        <w:rPr>
          <w:color w:val="000000" w:themeColor="text1"/>
        </w:rPr>
        <w:t xml:space="preserve">Om bidragen ska </w:t>
      </w:r>
      <w:r w:rsidR="00290A3D" w:rsidRPr="0080586B">
        <w:rPr>
          <w:color w:val="000000" w:themeColor="text1"/>
        </w:rPr>
        <w:t>beräknas på nominella belopp per resa måste därför fler nivåer än</w:t>
      </w:r>
      <w:r w:rsidR="00793F18" w:rsidRPr="0080586B">
        <w:rPr>
          <w:color w:val="000000" w:themeColor="text1"/>
        </w:rPr>
        <w:t xml:space="preserve"> de</w:t>
      </w:r>
      <w:r w:rsidR="00290A3D" w:rsidRPr="0080586B">
        <w:rPr>
          <w:color w:val="000000" w:themeColor="text1"/>
        </w:rPr>
        <w:t xml:space="preserve"> två</w:t>
      </w:r>
      <w:r w:rsidR="00793F18" w:rsidRPr="0080586B">
        <w:rPr>
          <w:color w:val="000000" w:themeColor="text1"/>
        </w:rPr>
        <w:t xml:space="preserve"> som föreslås av utredningen</w:t>
      </w:r>
      <w:r w:rsidR="00290A3D" w:rsidRPr="0080586B">
        <w:rPr>
          <w:color w:val="000000" w:themeColor="text1"/>
        </w:rPr>
        <w:t xml:space="preserve"> finnas. Belopp och nivåer bör </w:t>
      </w:r>
      <w:r w:rsidR="00793F18" w:rsidRPr="0080586B">
        <w:rPr>
          <w:color w:val="000000" w:themeColor="text1"/>
        </w:rPr>
        <w:t>fastställas i samråd med branschen och</w:t>
      </w:r>
      <w:r w:rsidR="0080586B">
        <w:rPr>
          <w:color w:val="000000" w:themeColor="text1"/>
        </w:rPr>
        <w:t xml:space="preserve"> efter en noggrann</w:t>
      </w:r>
      <w:r w:rsidR="00464895" w:rsidRPr="0080586B">
        <w:rPr>
          <w:color w:val="000000" w:themeColor="text1"/>
        </w:rPr>
        <w:t xml:space="preserve"> genomgång av hur detta slår för olika företag med olika typer av resor och priser.</w:t>
      </w:r>
    </w:p>
    <w:p w14:paraId="5C4100F3" w14:textId="77777777" w:rsidR="009960B6" w:rsidRDefault="009960B6" w:rsidP="00A36281">
      <w:pPr>
        <w:ind w:left="-567" w:right="567"/>
        <w:jc w:val="both"/>
      </w:pPr>
    </w:p>
    <w:p w14:paraId="734A6E8D" w14:textId="075F03DB" w:rsidR="003833F2" w:rsidRDefault="00464895" w:rsidP="00A36281">
      <w:pPr>
        <w:ind w:left="-567" w:right="567"/>
        <w:jc w:val="both"/>
      </w:pPr>
      <w:r>
        <w:t>I</w:t>
      </w:r>
      <w:r w:rsidR="003833F2">
        <w:t>nbetalningen till fonden</w:t>
      </w:r>
      <w:r>
        <w:t xml:space="preserve"> kan</w:t>
      </w:r>
      <w:r w:rsidR="003833F2">
        <w:t xml:space="preserve"> i</w:t>
      </w:r>
      <w:r w:rsidR="007D6BC6">
        <w:t xml:space="preserve"> </w:t>
      </w:r>
      <w:r w:rsidR="003833F2">
        <w:t xml:space="preserve">stället </w:t>
      </w:r>
      <w:r>
        <w:t>för att beräknas på nominella belopp</w:t>
      </w:r>
      <w:r w:rsidR="00F544AE">
        <w:t>,</w:t>
      </w:r>
      <w:r w:rsidR="003833F2">
        <w:t xml:space="preserve"> </w:t>
      </w:r>
      <w:r w:rsidR="0042215D">
        <w:t xml:space="preserve">baseras på företagens garantipliktiga omsättning. Som nämnts ovan har </w:t>
      </w:r>
      <w:r w:rsidR="000D21A3">
        <w:t>Tyskland nyligen infört ett liknande system som det som</w:t>
      </w:r>
      <w:r w:rsidR="00900191">
        <w:t xml:space="preserve"> nu</w:t>
      </w:r>
      <w:r w:rsidR="000D21A3">
        <w:t xml:space="preserve"> föreslås. I stället för ett </w:t>
      </w:r>
      <w:r w:rsidR="00A93D5B">
        <w:t>nominellt belopp</w:t>
      </w:r>
      <w:r w:rsidR="000D21A3">
        <w:t xml:space="preserve"> per resa betalar de tyska arrangörerna i</w:t>
      </w:r>
      <w:r w:rsidR="007D6BC6">
        <w:t xml:space="preserve"> </w:t>
      </w:r>
      <w:r w:rsidR="000D21A3">
        <w:t xml:space="preserve">stället in en viss procent </w:t>
      </w:r>
      <w:r w:rsidR="007A0373">
        <w:t xml:space="preserve">av sin garantipliktiga omsättning för föregående år. En sådan modell medför att </w:t>
      </w:r>
      <w:r w:rsidR="008454C4">
        <w:t>administrationen för såväl företagen som f</w:t>
      </w:r>
      <w:r w:rsidR="000E5332">
        <w:t>ö</w:t>
      </w:r>
      <w:r w:rsidR="008454C4">
        <w:t xml:space="preserve">r </w:t>
      </w:r>
      <w:r w:rsidR="004833CE">
        <w:t>K</w:t>
      </w:r>
      <w:r w:rsidR="008454C4">
        <w:t>ammarkollegiet skulle minska</w:t>
      </w:r>
      <w:r w:rsidR="00F84AD6">
        <w:t xml:space="preserve">, samtidigt som </w:t>
      </w:r>
      <w:r w:rsidR="0092475F">
        <w:t>beräkningen av inbetalningarna skulle bli mer rättvisa</w:t>
      </w:r>
      <w:r w:rsidR="00B71B36">
        <w:t>nde</w:t>
      </w:r>
      <w:r w:rsidR="0092475F">
        <w:t xml:space="preserve"> mellan olika företag.</w:t>
      </w:r>
      <w:r w:rsidR="00900191">
        <w:t xml:space="preserve"> I utredningen </w:t>
      </w:r>
      <w:r w:rsidR="00CD47FF">
        <w:t>diskuteras</w:t>
      </w:r>
      <w:r w:rsidR="003346D7">
        <w:t xml:space="preserve"> även</w:t>
      </w:r>
      <w:r w:rsidR="00CD47FF">
        <w:t xml:space="preserve"> </w:t>
      </w:r>
      <w:r w:rsidR="003346D7">
        <w:t xml:space="preserve">en modell med </w:t>
      </w:r>
      <w:r w:rsidR="00B36AB4">
        <w:t>bidrag till fonden som beräknas procentuellt baserat på företagens omsättning</w:t>
      </w:r>
      <w:r w:rsidR="00EA474C">
        <w:t xml:space="preserve">, men </w:t>
      </w:r>
      <w:r w:rsidR="00B71B36">
        <w:t xml:space="preserve">utredningen </w:t>
      </w:r>
      <w:r w:rsidR="00EA474C">
        <w:t>kommer fram till att ett nominellt belopp är att föredra.</w:t>
      </w:r>
    </w:p>
    <w:p w14:paraId="2118307C" w14:textId="77777777" w:rsidR="000E5332" w:rsidRDefault="000E5332" w:rsidP="00A36281">
      <w:pPr>
        <w:ind w:left="-567" w:right="567"/>
        <w:jc w:val="both"/>
      </w:pPr>
    </w:p>
    <w:p w14:paraId="18E67589" w14:textId="1B23A9F6" w:rsidR="00FB671B" w:rsidRDefault="001D23BA" w:rsidP="00A36281">
      <w:pPr>
        <w:ind w:left="-567" w:right="567"/>
        <w:jc w:val="both"/>
      </w:pPr>
      <w:r>
        <w:t>Exempel på bidragets storlek beroende på vilken procentsats som bidraget baseras på.</w:t>
      </w:r>
    </w:p>
    <w:tbl>
      <w:tblPr>
        <w:tblStyle w:val="Tabellrutnt"/>
        <w:tblW w:w="0" w:type="auto"/>
        <w:tblInd w:w="-567" w:type="dxa"/>
        <w:tblLook w:val="04A0" w:firstRow="1" w:lastRow="0" w:firstColumn="1" w:lastColumn="0" w:noHBand="0" w:noVBand="1"/>
      </w:tblPr>
      <w:tblGrid>
        <w:gridCol w:w="7787"/>
      </w:tblGrid>
      <w:tr w:rsidR="00D70BFF" w14:paraId="77273ED8" w14:textId="77777777" w:rsidTr="00D70BFF">
        <w:tc>
          <w:tcPr>
            <w:tcW w:w="7787" w:type="dxa"/>
          </w:tcPr>
          <w:p w14:paraId="524F03C6" w14:textId="0691AD50" w:rsidR="00D70BFF" w:rsidRDefault="00BA58FD" w:rsidP="00A36281">
            <w:pPr>
              <w:ind w:right="567"/>
              <w:jc w:val="both"/>
            </w:pPr>
            <w:r>
              <w:t>Samma förutsättningar som i föregående exempel.</w:t>
            </w:r>
          </w:p>
          <w:tbl>
            <w:tblPr>
              <w:tblStyle w:val="Tabellrutnt"/>
              <w:tblW w:w="0" w:type="auto"/>
              <w:tblLook w:val="04A0" w:firstRow="1" w:lastRow="0" w:firstColumn="1" w:lastColumn="0" w:noHBand="0" w:noVBand="1"/>
            </w:tblPr>
            <w:tblGrid>
              <w:gridCol w:w="1877"/>
              <w:gridCol w:w="1813"/>
              <w:gridCol w:w="1858"/>
              <w:gridCol w:w="1813"/>
            </w:tblGrid>
            <w:tr w:rsidR="00DA5433" w14:paraId="13BC883D" w14:textId="552C01CF" w:rsidTr="009C12EE">
              <w:trPr>
                <w:gridAfter w:val="1"/>
                <w:wAfter w:w="1813" w:type="dxa"/>
                <w:trHeight w:val="264"/>
              </w:trPr>
              <w:tc>
                <w:tcPr>
                  <w:tcW w:w="1877" w:type="dxa"/>
                  <w:vMerge w:val="restart"/>
                </w:tcPr>
                <w:p w14:paraId="7FD53250" w14:textId="7F629BBA" w:rsidR="00DA5433" w:rsidRDefault="00DA5433" w:rsidP="00BA58FD">
                  <w:pPr>
                    <w:ind w:right="567"/>
                    <w:jc w:val="both"/>
                  </w:pPr>
                  <w:r>
                    <w:t>Procentsats</w:t>
                  </w:r>
                </w:p>
              </w:tc>
              <w:tc>
                <w:tcPr>
                  <w:tcW w:w="3671" w:type="dxa"/>
                  <w:gridSpan w:val="2"/>
                  <w:tcBorders>
                    <w:bottom w:val="single" w:sz="4" w:space="0" w:color="auto"/>
                    <w:right w:val="single" w:sz="4" w:space="0" w:color="auto"/>
                  </w:tcBorders>
                </w:tcPr>
                <w:p w14:paraId="6AF50E99" w14:textId="77777777" w:rsidR="00DA5433" w:rsidRDefault="00DA5433" w:rsidP="002C34A7">
                  <w:pPr>
                    <w:ind w:right="567"/>
                  </w:pPr>
                  <w:r>
                    <w:t xml:space="preserve">Storlek på </w:t>
                  </w:r>
                </w:p>
                <w:p w14:paraId="3AA980BC" w14:textId="44977664" w:rsidR="00DA5433" w:rsidRDefault="00AB1323" w:rsidP="00BA58FD">
                  <w:pPr>
                    <w:ind w:right="567"/>
                    <w:jc w:val="both"/>
                  </w:pPr>
                  <w:r>
                    <w:t>B</w:t>
                  </w:r>
                  <w:r w:rsidR="00DA5433">
                    <w:t>idrag</w:t>
                  </w:r>
                </w:p>
              </w:tc>
            </w:tr>
            <w:tr w:rsidR="00B23652" w14:paraId="118F515F" w14:textId="40C4EE0C" w:rsidTr="009C12EE">
              <w:trPr>
                <w:trHeight w:val="288"/>
              </w:trPr>
              <w:tc>
                <w:tcPr>
                  <w:tcW w:w="1877" w:type="dxa"/>
                  <w:vMerge/>
                </w:tcPr>
                <w:p w14:paraId="17250BE6" w14:textId="77777777" w:rsidR="00B23652" w:rsidRDefault="00B23652" w:rsidP="00B23652">
                  <w:pPr>
                    <w:ind w:right="567"/>
                    <w:jc w:val="both"/>
                  </w:pPr>
                </w:p>
              </w:tc>
              <w:tc>
                <w:tcPr>
                  <w:tcW w:w="1813" w:type="dxa"/>
                  <w:tcBorders>
                    <w:top w:val="single" w:sz="4" w:space="0" w:color="auto"/>
                  </w:tcBorders>
                </w:tcPr>
                <w:p w14:paraId="03463A85" w14:textId="7E5F37DE" w:rsidR="00B23652" w:rsidRDefault="00B23652" w:rsidP="00B23652">
                  <w:pPr>
                    <w:ind w:right="567"/>
                    <w:jc w:val="both"/>
                  </w:pPr>
                  <w:r>
                    <w:t>Företag 1</w:t>
                  </w:r>
                </w:p>
              </w:tc>
              <w:tc>
                <w:tcPr>
                  <w:tcW w:w="1858" w:type="dxa"/>
                  <w:tcBorders>
                    <w:top w:val="single" w:sz="4" w:space="0" w:color="auto"/>
                    <w:right w:val="single" w:sz="4" w:space="0" w:color="auto"/>
                  </w:tcBorders>
                </w:tcPr>
                <w:p w14:paraId="383FAA21" w14:textId="63F6AE0D" w:rsidR="00B23652" w:rsidRDefault="00B23652" w:rsidP="00B23652">
                  <w:pPr>
                    <w:ind w:right="567"/>
                    <w:jc w:val="both"/>
                  </w:pPr>
                  <w:r>
                    <w:t>Företag 2</w:t>
                  </w:r>
                </w:p>
              </w:tc>
              <w:tc>
                <w:tcPr>
                  <w:tcW w:w="1813" w:type="dxa"/>
                </w:tcPr>
                <w:p w14:paraId="5DED0FD5" w14:textId="27407576" w:rsidR="00B23652" w:rsidRDefault="00B23652" w:rsidP="00B23652">
                  <w:r>
                    <w:t>Företag 3</w:t>
                  </w:r>
                </w:p>
              </w:tc>
            </w:tr>
            <w:tr w:rsidR="00B23652" w14:paraId="0F5F28CA" w14:textId="187C17F6" w:rsidTr="009C12EE">
              <w:tc>
                <w:tcPr>
                  <w:tcW w:w="1877" w:type="dxa"/>
                </w:tcPr>
                <w:p w14:paraId="42C33AC4" w14:textId="6EE3AEBA" w:rsidR="00B23652" w:rsidRDefault="00B23652" w:rsidP="00B23652">
                  <w:pPr>
                    <w:ind w:right="567"/>
                    <w:jc w:val="both"/>
                  </w:pPr>
                  <w:r>
                    <w:t>1 %</w:t>
                  </w:r>
                </w:p>
              </w:tc>
              <w:tc>
                <w:tcPr>
                  <w:tcW w:w="1813" w:type="dxa"/>
                </w:tcPr>
                <w:p w14:paraId="56B24A4B" w14:textId="537923E0" w:rsidR="00B23652" w:rsidRDefault="00B23652" w:rsidP="00B23652">
                  <w:pPr>
                    <w:ind w:right="567"/>
                    <w:jc w:val="both"/>
                  </w:pPr>
                  <w:r>
                    <w:t>720 000</w:t>
                  </w:r>
                </w:p>
              </w:tc>
              <w:tc>
                <w:tcPr>
                  <w:tcW w:w="1858" w:type="dxa"/>
                  <w:tcBorders>
                    <w:right w:val="single" w:sz="4" w:space="0" w:color="auto"/>
                  </w:tcBorders>
                </w:tcPr>
                <w:p w14:paraId="6EAD749A" w14:textId="3188865C" w:rsidR="00B23652" w:rsidRDefault="00B23652" w:rsidP="00B23652">
                  <w:pPr>
                    <w:ind w:right="567"/>
                    <w:jc w:val="both"/>
                  </w:pPr>
                  <w:r>
                    <w:t>3 000 000</w:t>
                  </w:r>
                </w:p>
              </w:tc>
              <w:tc>
                <w:tcPr>
                  <w:tcW w:w="1813" w:type="dxa"/>
                </w:tcPr>
                <w:p w14:paraId="6BAFEF23" w14:textId="6C9B6EF1" w:rsidR="00B23652" w:rsidRDefault="00DC7816" w:rsidP="00B23652">
                  <w:r>
                    <w:t>30 000 000</w:t>
                  </w:r>
                </w:p>
              </w:tc>
            </w:tr>
            <w:tr w:rsidR="00B23652" w14:paraId="71AD13A9" w14:textId="665564CE" w:rsidTr="009C12EE">
              <w:tc>
                <w:tcPr>
                  <w:tcW w:w="1877" w:type="dxa"/>
                </w:tcPr>
                <w:p w14:paraId="5A81D661" w14:textId="6A413C1C" w:rsidR="00B23652" w:rsidRDefault="00B23652" w:rsidP="00B23652">
                  <w:pPr>
                    <w:ind w:right="567"/>
                    <w:jc w:val="both"/>
                  </w:pPr>
                  <w:r>
                    <w:t>0,75 %</w:t>
                  </w:r>
                </w:p>
              </w:tc>
              <w:tc>
                <w:tcPr>
                  <w:tcW w:w="1813" w:type="dxa"/>
                </w:tcPr>
                <w:p w14:paraId="420A2DE4" w14:textId="6FBB49BA" w:rsidR="00B23652" w:rsidRDefault="00B23652" w:rsidP="00B23652">
                  <w:pPr>
                    <w:ind w:right="567"/>
                    <w:jc w:val="both"/>
                  </w:pPr>
                  <w:r>
                    <w:t>540 000</w:t>
                  </w:r>
                </w:p>
              </w:tc>
              <w:tc>
                <w:tcPr>
                  <w:tcW w:w="1858" w:type="dxa"/>
                  <w:tcBorders>
                    <w:right w:val="single" w:sz="4" w:space="0" w:color="auto"/>
                  </w:tcBorders>
                </w:tcPr>
                <w:p w14:paraId="1B8F57D3" w14:textId="79E8A508" w:rsidR="00B23652" w:rsidRDefault="00B23652" w:rsidP="00B23652">
                  <w:pPr>
                    <w:ind w:right="567"/>
                    <w:jc w:val="both"/>
                  </w:pPr>
                  <w:r>
                    <w:t>2 250 000</w:t>
                  </w:r>
                </w:p>
              </w:tc>
              <w:tc>
                <w:tcPr>
                  <w:tcW w:w="1813" w:type="dxa"/>
                </w:tcPr>
                <w:p w14:paraId="75091F7B" w14:textId="61E66527" w:rsidR="00B23652" w:rsidRDefault="00DC7816" w:rsidP="00B23652">
                  <w:r>
                    <w:t>22 500 000</w:t>
                  </w:r>
                </w:p>
              </w:tc>
            </w:tr>
            <w:tr w:rsidR="00B23652" w14:paraId="09782E8B" w14:textId="5D680C56" w:rsidTr="009C12EE">
              <w:tc>
                <w:tcPr>
                  <w:tcW w:w="1877" w:type="dxa"/>
                </w:tcPr>
                <w:p w14:paraId="5063980B" w14:textId="5BBA510C" w:rsidR="00B23652" w:rsidRDefault="00B23652" w:rsidP="00B23652">
                  <w:pPr>
                    <w:ind w:right="567"/>
                    <w:jc w:val="both"/>
                  </w:pPr>
                  <w:r>
                    <w:t>0,5 %</w:t>
                  </w:r>
                </w:p>
              </w:tc>
              <w:tc>
                <w:tcPr>
                  <w:tcW w:w="1813" w:type="dxa"/>
                </w:tcPr>
                <w:p w14:paraId="17CCBC2F" w14:textId="2EB6A106" w:rsidR="00B23652" w:rsidRDefault="00B23652" w:rsidP="00B23652">
                  <w:pPr>
                    <w:ind w:right="567"/>
                    <w:jc w:val="both"/>
                  </w:pPr>
                  <w:r>
                    <w:t>360 000</w:t>
                  </w:r>
                </w:p>
              </w:tc>
              <w:tc>
                <w:tcPr>
                  <w:tcW w:w="1858" w:type="dxa"/>
                  <w:tcBorders>
                    <w:right w:val="single" w:sz="4" w:space="0" w:color="auto"/>
                  </w:tcBorders>
                </w:tcPr>
                <w:p w14:paraId="245C16EA" w14:textId="3C29A030" w:rsidR="00B23652" w:rsidRDefault="00B23652" w:rsidP="00B23652">
                  <w:pPr>
                    <w:ind w:right="567"/>
                    <w:jc w:val="both"/>
                  </w:pPr>
                  <w:r>
                    <w:t>1 500 000</w:t>
                  </w:r>
                </w:p>
              </w:tc>
              <w:tc>
                <w:tcPr>
                  <w:tcW w:w="1813" w:type="dxa"/>
                </w:tcPr>
                <w:p w14:paraId="7BAE25D1" w14:textId="414F79F0" w:rsidR="00B23652" w:rsidRDefault="00DC7816" w:rsidP="00B23652">
                  <w:r>
                    <w:t>15 000 000</w:t>
                  </w:r>
                </w:p>
              </w:tc>
            </w:tr>
            <w:tr w:rsidR="00B23652" w14:paraId="2CE0B8A8" w14:textId="547810C6" w:rsidTr="009C12EE">
              <w:tc>
                <w:tcPr>
                  <w:tcW w:w="1877" w:type="dxa"/>
                </w:tcPr>
                <w:p w14:paraId="069D90E6" w14:textId="0A13D296" w:rsidR="00B23652" w:rsidRDefault="00B23652" w:rsidP="00B23652">
                  <w:pPr>
                    <w:ind w:right="567"/>
                    <w:jc w:val="both"/>
                  </w:pPr>
                  <w:r>
                    <w:t>0,2 %</w:t>
                  </w:r>
                </w:p>
              </w:tc>
              <w:tc>
                <w:tcPr>
                  <w:tcW w:w="1813" w:type="dxa"/>
                </w:tcPr>
                <w:p w14:paraId="65CC6B72" w14:textId="2E9DE3A3" w:rsidR="00B23652" w:rsidRDefault="00B23652" w:rsidP="00B23652">
                  <w:pPr>
                    <w:ind w:right="567"/>
                    <w:jc w:val="both"/>
                  </w:pPr>
                  <w:r>
                    <w:t>144 000</w:t>
                  </w:r>
                </w:p>
              </w:tc>
              <w:tc>
                <w:tcPr>
                  <w:tcW w:w="1858" w:type="dxa"/>
                  <w:tcBorders>
                    <w:right w:val="single" w:sz="4" w:space="0" w:color="auto"/>
                  </w:tcBorders>
                </w:tcPr>
                <w:p w14:paraId="6E42CE7A" w14:textId="4D063E61" w:rsidR="00B23652" w:rsidRDefault="00B23652" w:rsidP="00B23652">
                  <w:pPr>
                    <w:ind w:right="567"/>
                    <w:jc w:val="both"/>
                  </w:pPr>
                  <w:r>
                    <w:t>600 000</w:t>
                  </w:r>
                </w:p>
              </w:tc>
              <w:tc>
                <w:tcPr>
                  <w:tcW w:w="1813" w:type="dxa"/>
                </w:tcPr>
                <w:p w14:paraId="1D28637C" w14:textId="7E3D286A" w:rsidR="00B23652" w:rsidRDefault="00DC7816" w:rsidP="00B23652">
                  <w:r>
                    <w:t>6 000 000</w:t>
                  </w:r>
                </w:p>
              </w:tc>
            </w:tr>
            <w:tr w:rsidR="00B23652" w14:paraId="4139A5FD" w14:textId="2D23078B" w:rsidTr="009C12EE">
              <w:tc>
                <w:tcPr>
                  <w:tcW w:w="1877" w:type="dxa"/>
                </w:tcPr>
                <w:p w14:paraId="3626716A" w14:textId="535E6B2C" w:rsidR="00B23652" w:rsidRDefault="00B23652" w:rsidP="00B23652">
                  <w:pPr>
                    <w:ind w:right="567"/>
                    <w:jc w:val="both"/>
                  </w:pPr>
                  <w:r>
                    <w:t>0,1 %</w:t>
                  </w:r>
                </w:p>
              </w:tc>
              <w:tc>
                <w:tcPr>
                  <w:tcW w:w="1813" w:type="dxa"/>
                </w:tcPr>
                <w:p w14:paraId="7BD9C4D9" w14:textId="4E7D4830" w:rsidR="00B23652" w:rsidRDefault="00B23652" w:rsidP="00B23652">
                  <w:pPr>
                    <w:ind w:right="567"/>
                    <w:jc w:val="both"/>
                  </w:pPr>
                  <w:r>
                    <w:t>72 000</w:t>
                  </w:r>
                </w:p>
              </w:tc>
              <w:tc>
                <w:tcPr>
                  <w:tcW w:w="1858" w:type="dxa"/>
                  <w:tcBorders>
                    <w:right w:val="single" w:sz="4" w:space="0" w:color="auto"/>
                  </w:tcBorders>
                </w:tcPr>
                <w:p w14:paraId="6C61B4C3" w14:textId="4719BFD7" w:rsidR="00B23652" w:rsidRDefault="00B23652" w:rsidP="00B23652">
                  <w:pPr>
                    <w:ind w:right="567"/>
                    <w:jc w:val="both"/>
                  </w:pPr>
                  <w:r>
                    <w:t>300 000</w:t>
                  </w:r>
                </w:p>
              </w:tc>
              <w:tc>
                <w:tcPr>
                  <w:tcW w:w="1813" w:type="dxa"/>
                </w:tcPr>
                <w:p w14:paraId="33E5258E" w14:textId="1EA8D378" w:rsidR="00B23652" w:rsidRDefault="00DC7816" w:rsidP="00B23652">
                  <w:r>
                    <w:t>3 000 000</w:t>
                  </w:r>
                </w:p>
              </w:tc>
            </w:tr>
          </w:tbl>
          <w:p w14:paraId="7E192686" w14:textId="77777777" w:rsidR="00BA58FD" w:rsidRDefault="00BA58FD" w:rsidP="00A36281">
            <w:pPr>
              <w:ind w:right="567"/>
              <w:jc w:val="both"/>
            </w:pPr>
          </w:p>
          <w:p w14:paraId="4CC6C089" w14:textId="77777777" w:rsidR="00BA58FD" w:rsidRDefault="00BA58FD" w:rsidP="00A36281">
            <w:pPr>
              <w:ind w:right="567"/>
              <w:jc w:val="both"/>
            </w:pPr>
          </w:p>
          <w:p w14:paraId="0585C019" w14:textId="0BEDBC55" w:rsidR="00BA58FD" w:rsidRDefault="00BA58FD" w:rsidP="00A36281">
            <w:pPr>
              <w:ind w:right="567"/>
              <w:jc w:val="both"/>
            </w:pPr>
          </w:p>
        </w:tc>
      </w:tr>
    </w:tbl>
    <w:p w14:paraId="273FF918" w14:textId="77777777" w:rsidR="003833F2" w:rsidRDefault="003833F2" w:rsidP="00A36281">
      <w:pPr>
        <w:ind w:left="-567" w:right="567"/>
        <w:jc w:val="both"/>
      </w:pPr>
    </w:p>
    <w:p w14:paraId="2B53875A" w14:textId="7B548566" w:rsidR="00E46BEB" w:rsidRDefault="000610B7" w:rsidP="00A36281">
      <w:pPr>
        <w:ind w:left="-567" w:right="567"/>
        <w:jc w:val="both"/>
      </w:pPr>
      <w:r>
        <w:t xml:space="preserve">På flera ställen i utredningen anges att </w:t>
      </w:r>
      <w:r w:rsidR="00CC3A53">
        <w:t>man eftersträvar en lösning som dels innebär lägre kostnader för företagen, dels medför mindre admi</w:t>
      </w:r>
      <w:r w:rsidR="0056177F">
        <w:t xml:space="preserve">nistration för såväl företagen som Kammarkollegiet. För att </w:t>
      </w:r>
      <w:r w:rsidR="00023004">
        <w:t xml:space="preserve">kunna avgöra </w:t>
      </w:r>
      <w:r w:rsidR="00FC79E6">
        <w:t xml:space="preserve">hur bidragen till fonden ska beräknas måste man </w:t>
      </w:r>
      <w:r w:rsidR="005900A7">
        <w:t xml:space="preserve">därför jämföra </w:t>
      </w:r>
      <w:r w:rsidR="00466600">
        <w:t>storleken på företagens bidrag till fonden</w:t>
      </w:r>
      <w:r w:rsidR="005900A7">
        <w:t xml:space="preserve"> med den kostnad företagen idag har för att ställa garantier. </w:t>
      </w:r>
      <w:r w:rsidR="00F75F0D">
        <w:t>Kostnaden för att ställa resegaranti utgörs för de flesta företag av</w:t>
      </w:r>
      <w:r w:rsidR="007405EE">
        <w:t xml:space="preserve"> en</w:t>
      </w:r>
      <w:r w:rsidR="00F75F0D">
        <w:t xml:space="preserve"> </w:t>
      </w:r>
      <w:r w:rsidR="00764606">
        <w:t xml:space="preserve">avgift till </w:t>
      </w:r>
      <w:r w:rsidR="007405EE">
        <w:t>d</w:t>
      </w:r>
      <w:r w:rsidR="00764606">
        <w:t xml:space="preserve">en bank eller en premie till </w:t>
      </w:r>
      <w:r w:rsidR="007405EE">
        <w:t xml:space="preserve">det </w:t>
      </w:r>
      <w:r w:rsidR="00764606">
        <w:t>försäkringsbolag</w:t>
      </w:r>
      <w:r w:rsidR="007405EE">
        <w:t xml:space="preserve"> som utfärdat en bankgaranti eller en betalningsutfästelse som lämnats till Kammarkollegiet</w:t>
      </w:r>
      <w:r w:rsidR="00764606">
        <w:t>.</w:t>
      </w:r>
      <w:r w:rsidR="00BB2028">
        <w:t xml:space="preserve"> </w:t>
      </w:r>
      <w:r w:rsidR="009A5D08">
        <w:t xml:space="preserve">Eftersom företagens garantier varierar under olika perioder under året </w:t>
      </w:r>
      <w:r w:rsidR="00B07EE4">
        <w:t xml:space="preserve">på grund av hög- och lågsäsong får denna kostnad beräknas schabloniserat. Storleken på avgiften/premien varierar </w:t>
      </w:r>
      <w:r w:rsidR="0082161F">
        <w:t>mellan olika företag beroende på framför</w:t>
      </w:r>
      <w:r w:rsidR="007D6BC6">
        <w:t xml:space="preserve"> </w:t>
      </w:r>
      <w:r w:rsidR="0082161F">
        <w:t>allt bolagets ekonomi. Ett stort soli</w:t>
      </w:r>
      <w:r w:rsidR="00883993">
        <w:t>t</w:t>
      </w:r>
      <w:r w:rsidR="0082161F">
        <w:t>t företag betalar sålede</w:t>
      </w:r>
      <w:r w:rsidR="00883993">
        <w:t xml:space="preserve">s en lägre premie än ett litet företag med sämre ekonomi. Premier hos försäkringsbolagen har stigit kraftigt i kölvattnet av pandemin och ligger idag på ca </w:t>
      </w:r>
      <w:proofErr w:type="gramStart"/>
      <w:r w:rsidR="00D45417">
        <w:t>1-5</w:t>
      </w:r>
      <w:proofErr w:type="gramEnd"/>
      <w:r w:rsidR="00D45417">
        <w:t xml:space="preserve"> % </w:t>
      </w:r>
      <w:r w:rsidR="000D2682">
        <w:t xml:space="preserve">av garantibeloppet. </w:t>
      </w:r>
      <w:r w:rsidR="00D46034">
        <w:t>Kammarkollegiet redovisar inte längre öppet hur stora garantier företagen ställer</w:t>
      </w:r>
      <w:r w:rsidR="007A7C91">
        <w:t>, varför även detta måste uppskattas.</w:t>
      </w:r>
    </w:p>
    <w:p w14:paraId="5E9B58BD" w14:textId="77777777" w:rsidR="007A7C91" w:rsidRDefault="007A7C91" w:rsidP="00A36281">
      <w:pPr>
        <w:ind w:left="-567" w:right="567"/>
        <w:jc w:val="both"/>
      </w:pPr>
    </w:p>
    <w:p w14:paraId="37813DAC" w14:textId="63E83B60" w:rsidR="007A7C91" w:rsidRDefault="00AA7D14" w:rsidP="00A36281">
      <w:pPr>
        <w:ind w:left="-567" w:right="567"/>
        <w:jc w:val="both"/>
      </w:pPr>
      <w:r>
        <w:t>De r</w:t>
      </w:r>
      <w:r w:rsidR="001A6448">
        <w:t xml:space="preserve">esegarantier </w:t>
      </w:r>
      <w:r>
        <w:t>som</w:t>
      </w:r>
      <w:r w:rsidR="001A6448">
        <w:t xml:space="preserve"> f</w:t>
      </w:r>
      <w:r w:rsidR="00902B4C">
        <w:t>öretag 1</w:t>
      </w:r>
      <w:r w:rsidR="00A52102">
        <w:t>,</w:t>
      </w:r>
      <w:r w:rsidR="00902B4C">
        <w:t xml:space="preserve"> företag 2</w:t>
      </w:r>
      <w:r w:rsidR="00A52102">
        <w:t xml:space="preserve"> respektive företag 3 idag genomsnittligt ställer,</w:t>
      </w:r>
      <w:r w:rsidR="00902B4C">
        <w:t xml:space="preserve"> </w:t>
      </w:r>
      <w:r w:rsidR="001A6448">
        <w:t xml:space="preserve">uppskattas till </w:t>
      </w:r>
      <w:r w:rsidR="006A293B">
        <w:t>10 mkr</w:t>
      </w:r>
      <w:r w:rsidR="00A52102">
        <w:t>,</w:t>
      </w:r>
      <w:r w:rsidR="00602464">
        <w:t xml:space="preserve"> </w:t>
      </w:r>
      <w:r w:rsidR="00371AF5">
        <w:t>27,5 mkr</w:t>
      </w:r>
      <w:r w:rsidR="00A52102">
        <w:t xml:space="preserve"> respektive</w:t>
      </w:r>
      <w:r w:rsidR="0009389D">
        <w:t xml:space="preserve"> </w:t>
      </w:r>
      <w:r w:rsidR="00371AF5">
        <w:t>1 100 mkr</w:t>
      </w:r>
      <w:r w:rsidR="005A69BF">
        <w:t>.</w:t>
      </w:r>
      <w:r w:rsidR="007058D2">
        <w:t xml:space="preserve"> </w:t>
      </w:r>
      <w:r w:rsidR="005A69BF">
        <w:t xml:space="preserve"> </w:t>
      </w:r>
    </w:p>
    <w:p w14:paraId="439CE31E" w14:textId="77777777" w:rsidR="00E46BEB" w:rsidRDefault="00E46BEB" w:rsidP="00A36281">
      <w:pPr>
        <w:ind w:left="-567" w:right="567"/>
        <w:jc w:val="both"/>
      </w:pPr>
    </w:p>
    <w:p w14:paraId="47827768" w14:textId="289E72CE" w:rsidR="00E46BEB" w:rsidRPr="00545D48" w:rsidRDefault="0015572A" w:rsidP="00A36281">
      <w:pPr>
        <w:ind w:left="-567" w:right="567"/>
        <w:jc w:val="both"/>
        <w:rPr>
          <w:color w:val="000000" w:themeColor="text1"/>
        </w:rPr>
      </w:pPr>
      <w:r w:rsidRPr="00545D48">
        <w:rPr>
          <w:color w:val="000000" w:themeColor="text1"/>
        </w:rPr>
        <w:t xml:space="preserve">Typiskt sett har </w:t>
      </w:r>
      <w:r w:rsidR="00D1710F" w:rsidRPr="00545D48">
        <w:rPr>
          <w:color w:val="000000" w:themeColor="text1"/>
        </w:rPr>
        <w:t xml:space="preserve">större företag möjlighet att förhandla till sig bättre premie än ett mindre företag. Här utgår vi därför från att </w:t>
      </w:r>
      <w:r w:rsidR="00F01ED0" w:rsidRPr="00545D48">
        <w:rPr>
          <w:color w:val="000000" w:themeColor="text1"/>
        </w:rPr>
        <w:t>företag 1</w:t>
      </w:r>
      <w:r w:rsidR="00DF680D" w:rsidRPr="00545D48">
        <w:rPr>
          <w:color w:val="000000" w:themeColor="text1"/>
        </w:rPr>
        <w:t xml:space="preserve"> och 2 idag betalar en premie på </w:t>
      </w:r>
      <w:proofErr w:type="gramStart"/>
      <w:r w:rsidR="00DF680D" w:rsidRPr="00545D48">
        <w:rPr>
          <w:color w:val="000000" w:themeColor="text1"/>
        </w:rPr>
        <w:t>3-4</w:t>
      </w:r>
      <w:proofErr w:type="gramEnd"/>
      <w:r w:rsidR="00DF680D" w:rsidRPr="00545D48">
        <w:rPr>
          <w:color w:val="000000" w:themeColor="text1"/>
        </w:rPr>
        <w:t xml:space="preserve"> %</w:t>
      </w:r>
      <w:r w:rsidR="00F01ED0" w:rsidRPr="00545D48">
        <w:rPr>
          <w:color w:val="000000" w:themeColor="text1"/>
        </w:rPr>
        <w:t xml:space="preserve"> och företag 3 en premie på 1</w:t>
      </w:r>
      <w:r w:rsidR="00DF680D" w:rsidRPr="00545D48">
        <w:rPr>
          <w:color w:val="000000" w:themeColor="text1"/>
        </w:rPr>
        <w:t>,5-2 %</w:t>
      </w:r>
      <w:r w:rsidR="00F01ED0" w:rsidRPr="00545D48">
        <w:rPr>
          <w:color w:val="000000" w:themeColor="text1"/>
        </w:rPr>
        <w:t>.</w:t>
      </w:r>
    </w:p>
    <w:p w14:paraId="73A0EC82" w14:textId="77777777" w:rsidR="006C4625" w:rsidRPr="00545D48" w:rsidRDefault="006C4625" w:rsidP="00A36281">
      <w:pPr>
        <w:ind w:left="-567" w:right="567"/>
        <w:jc w:val="both"/>
        <w:rPr>
          <w:color w:val="000000" w:themeColor="text1"/>
        </w:rPr>
      </w:pPr>
    </w:p>
    <w:p w14:paraId="740085DC" w14:textId="77777777" w:rsidR="006C4625" w:rsidRPr="00545D48" w:rsidRDefault="006C4625" w:rsidP="00A36281">
      <w:pPr>
        <w:ind w:left="-567" w:right="567"/>
        <w:jc w:val="both"/>
        <w:rPr>
          <w:color w:val="000000" w:themeColor="text1"/>
        </w:rPr>
      </w:pPr>
    </w:p>
    <w:tbl>
      <w:tblPr>
        <w:tblStyle w:val="Tabellrutnt"/>
        <w:tblW w:w="0" w:type="auto"/>
        <w:tblLook w:val="04A0" w:firstRow="1" w:lastRow="0" w:firstColumn="1" w:lastColumn="0" w:noHBand="0" w:noVBand="1"/>
      </w:tblPr>
      <w:tblGrid>
        <w:gridCol w:w="1696"/>
        <w:gridCol w:w="2268"/>
        <w:gridCol w:w="1463"/>
        <w:gridCol w:w="2244"/>
      </w:tblGrid>
      <w:tr w:rsidR="00545D48" w:rsidRPr="00545D48" w14:paraId="4E6E5253" w14:textId="77777777" w:rsidTr="00F0218A">
        <w:tc>
          <w:tcPr>
            <w:tcW w:w="1696" w:type="dxa"/>
          </w:tcPr>
          <w:p w14:paraId="29309442" w14:textId="77777777" w:rsidR="006C4625" w:rsidRPr="00545D48" w:rsidRDefault="006C4625" w:rsidP="00510EAE">
            <w:pPr>
              <w:ind w:right="567"/>
              <w:jc w:val="both"/>
              <w:rPr>
                <w:color w:val="000000" w:themeColor="text1"/>
              </w:rPr>
            </w:pPr>
          </w:p>
        </w:tc>
        <w:tc>
          <w:tcPr>
            <w:tcW w:w="2268" w:type="dxa"/>
          </w:tcPr>
          <w:p w14:paraId="47B46066" w14:textId="01C233FF" w:rsidR="006C4625" w:rsidRPr="00545D48" w:rsidRDefault="000E01E6" w:rsidP="00510EAE">
            <w:pPr>
              <w:ind w:right="567"/>
              <w:jc w:val="both"/>
              <w:rPr>
                <w:color w:val="000000" w:themeColor="text1"/>
              </w:rPr>
            </w:pPr>
            <w:r w:rsidRPr="00545D48">
              <w:rPr>
                <w:color w:val="000000" w:themeColor="text1"/>
              </w:rPr>
              <w:t>Resegaranti</w:t>
            </w:r>
            <w:r w:rsidR="00FC4DC9" w:rsidRPr="00545D48">
              <w:rPr>
                <w:color w:val="000000" w:themeColor="text1"/>
              </w:rPr>
              <w:t xml:space="preserve"> </w:t>
            </w:r>
          </w:p>
        </w:tc>
        <w:tc>
          <w:tcPr>
            <w:tcW w:w="1418" w:type="dxa"/>
          </w:tcPr>
          <w:p w14:paraId="6DE2FA46" w14:textId="23A78270" w:rsidR="006C4625" w:rsidRPr="00545D48" w:rsidRDefault="00934E20" w:rsidP="00510EAE">
            <w:pPr>
              <w:ind w:right="567"/>
              <w:jc w:val="both"/>
              <w:rPr>
                <w:color w:val="000000" w:themeColor="text1"/>
              </w:rPr>
            </w:pPr>
            <w:r w:rsidRPr="00545D48">
              <w:rPr>
                <w:color w:val="000000" w:themeColor="text1"/>
              </w:rPr>
              <w:t>Premie</w:t>
            </w:r>
          </w:p>
        </w:tc>
        <w:tc>
          <w:tcPr>
            <w:tcW w:w="2244" w:type="dxa"/>
          </w:tcPr>
          <w:p w14:paraId="37A84BBD" w14:textId="50722A58" w:rsidR="006C4625" w:rsidRPr="00545D48" w:rsidRDefault="00111905" w:rsidP="00510EAE">
            <w:pPr>
              <w:ind w:right="567"/>
              <w:jc w:val="both"/>
              <w:rPr>
                <w:color w:val="000000" w:themeColor="text1"/>
              </w:rPr>
            </w:pPr>
            <w:r w:rsidRPr="00545D48">
              <w:rPr>
                <w:color w:val="000000" w:themeColor="text1"/>
              </w:rPr>
              <w:t>Kostnad</w:t>
            </w:r>
            <w:r w:rsidR="00FC4DC9" w:rsidRPr="00545D48">
              <w:rPr>
                <w:color w:val="000000" w:themeColor="text1"/>
              </w:rPr>
              <w:t xml:space="preserve"> (kr/år)</w:t>
            </w:r>
          </w:p>
        </w:tc>
      </w:tr>
      <w:tr w:rsidR="00545D48" w:rsidRPr="00545D48" w14:paraId="099613D6" w14:textId="77777777" w:rsidTr="00F0218A">
        <w:tc>
          <w:tcPr>
            <w:tcW w:w="1696" w:type="dxa"/>
          </w:tcPr>
          <w:p w14:paraId="79590A9F" w14:textId="32D2BA31" w:rsidR="006C4625" w:rsidRPr="00545D48" w:rsidRDefault="006C4625" w:rsidP="00510EAE">
            <w:pPr>
              <w:ind w:right="567"/>
              <w:jc w:val="both"/>
              <w:rPr>
                <w:color w:val="000000" w:themeColor="text1"/>
              </w:rPr>
            </w:pPr>
            <w:r w:rsidRPr="00545D48">
              <w:rPr>
                <w:color w:val="000000" w:themeColor="text1"/>
              </w:rPr>
              <w:t>Företag 1</w:t>
            </w:r>
          </w:p>
        </w:tc>
        <w:tc>
          <w:tcPr>
            <w:tcW w:w="2268" w:type="dxa"/>
          </w:tcPr>
          <w:p w14:paraId="67F9791C" w14:textId="43D13FF4" w:rsidR="006C4625" w:rsidRPr="00545D48" w:rsidRDefault="00F0218A" w:rsidP="00510EAE">
            <w:pPr>
              <w:ind w:right="567"/>
              <w:jc w:val="both"/>
              <w:rPr>
                <w:color w:val="000000" w:themeColor="text1"/>
              </w:rPr>
            </w:pPr>
            <w:r w:rsidRPr="00545D48">
              <w:rPr>
                <w:color w:val="000000" w:themeColor="text1"/>
              </w:rPr>
              <w:t>10 00</w:t>
            </w:r>
            <w:r w:rsidR="009444DE" w:rsidRPr="00545D48">
              <w:rPr>
                <w:color w:val="000000" w:themeColor="text1"/>
              </w:rPr>
              <w:t>0 000</w:t>
            </w:r>
          </w:p>
        </w:tc>
        <w:tc>
          <w:tcPr>
            <w:tcW w:w="1418" w:type="dxa"/>
          </w:tcPr>
          <w:p w14:paraId="68A8110B" w14:textId="696E3ABD" w:rsidR="006C4625" w:rsidRPr="00545D48" w:rsidRDefault="008F1419" w:rsidP="00510EAE">
            <w:pPr>
              <w:ind w:right="567"/>
              <w:jc w:val="both"/>
              <w:rPr>
                <w:color w:val="000000" w:themeColor="text1"/>
              </w:rPr>
            </w:pPr>
            <w:r w:rsidRPr="00545D48">
              <w:rPr>
                <w:color w:val="000000" w:themeColor="text1"/>
              </w:rPr>
              <w:t>3</w:t>
            </w:r>
            <w:r w:rsidR="00B10F05" w:rsidRPr="00545D48">
              <w:rPr>
                <w:color w:val="000000" w:themeColor="text1"/>
              </w:rPr>
              <w:t xml:space="preserve"> %</w:t>
            </w:r>
          </w:p>
        </w:tc>
        <w:tc>
          <w:tcPr>
            <w:tcW w:w="2244" w:type="dxa"/>
          </w:tcPr>
          <w:p w14:paraId="12A2C617" w14:textId="346E2D07" w:rsidR="006C4625" w:rsidRPr="00545D48" w:rsidRDefault="00FC4DC9" w:rsidP="00510EAE">
            <w:pPr>
              <w:ind w:right="567"/>
              <w:jc w:val="both"/>
              <w:rPr>
                <w:color w:val="000000" w:themeColor="text1"/>
              </w:rPr>
            </w:pPr>
            <w:r w:rsidRPr="00545D48">
              <w:rPr>
                <w:color w:val="000000" w:themeColor="text1"/>
              </w:rPr>
              <w:t xml:space="preserve">300 000 </w:t>
            </w:r>
          </w:p>
        </w:tc>
      </w:tr>
      <w:tr w:rsidR="00545D48" w:rsidRPr="00545D48" w14:paraId="03A2BD33" w14:textId="77777777" w:rsidTr="00F0218A">
        <w:tc>
          <w:tcPr>
            <w:tcW w:w="1696" w:type="dxa"/>
          </w:tcPr>
          <w:p w14:paraId="5D83A40D" w14:textId="446DD279" w:rsidR="006C4625" w:rsidRPr="00545D48" w:rsidRDefault="006C4625" w:rsidP="00510EAE">
            <w:pPr>
              <w:ind w:right="567"/>
              <w:jc w:val="both"/>
              <w:rPr>
                <w:color w:val="000000" w:themeColor="text1"/>
              </w:rPr>
            </w:pPr>
          </w:p>
        </w:tc>
        <w:tc>
          <w:tcPr>
            <w:tcW w:w="2268" w:type="dxa"/>
          </w:tcPr>
          <w:p w14:paraId="1E39601D" w14:textId="5167F9EE" w:rsidR="006C4625" w:rsidRPr="00545D48" w:rsidRDefault="006C4625" w:rsidP="00510EAE">
            <w:pPr>
              <w:ind w:right="567"/>
              <w:jc w:val="both"/>
              <w:rPr>
                <w:color w:val="000000" w:themeColor="text1"/>
              </w:rPr>
            </w:pPr>
          </w:p>
        </w:tc>
        <w:tc>
          <w:tcPr>
            <w:tcW w:w="1418" w:type="dxa"/>
          </w:tcPr>
          <w:p w14:paraId="1A2906C3" w14:textId="295F3EC2" w:rsidR="006C4625" w:rsidRPr="00545D48" w:rsidRDefault="008F1419" w:rsidP="00510EAE">
            <w:pPr>
              <w:ind w:right="567"/>
              <w:jc w:val="both"/>
              <w:rPr>
                <w:color w:val="000000" w:themeColor="text1"/>
              </w:rPr>
            </w:pPr>
            <w:r w:rsidRPr="00545D48">
              <w:rPr>
                <w:color w:val="000000" w:themeColor="text1"/>
              </w:rPr>
              <w:t>4</w:t>
            </w:r>
            <w:r w:rsidR="00B70EEA" w:rsidRPr="00545D48">
              <w:rPr>
                <w:color w:val="000000" w:themeColor="text1"/>
              </w:rPr>
              <w:t xml:space="preserve"> %</w:t>
            </w:r>
          </w:p>
        </w:tc>
        <w:tc>
          <w:tcPr>
            <w:tcW w:w="2244" w:type="dxa"/>
          </w:tcPr>
          <w:p w14:paraId="32F53298" w14:textId="79B87D33" w:rsidR="006C4625" w:rsidRPr="00545D48" w:rsidRDefault="006A293B" w:rsidP="00510EAE">
            <w:pPr>
              <w:ind w:right="567"/>
              <w:jc w:val="both"/>
              <w:rPr>
                <w:color w:val="000000" w:themeColor="text1"/>
              </w:rPr>
            </w:pPr>
            <w:r w:rsidRPr="00545D48">
              <w:rPr>
                <w:color w:val="000000" w:themeColor="text1"/>
              </w:rPr>
              <w:t>400 000</w:t>
            </w:r>
          </w:p>
        </w:tc>
      </w:tr>
      <w:tr w:rsidR="00545D48" w:rsidRPr="00545D48" w14:paraId="194130F6" w14:textId="77777777" w:rsidTr="00F0218A">
        <w:tc>
          <w:tcPr>
            <w:tcW w:w="1696" w:type="dxa"/>
          </w:tcPr>
          <w:p w14:paraId="486C8C5B" w14:textId="443038FC" w:rsidR="008C235D" w:rsidRPr="00545D48" w:rsidRDefault="008F1419" w:rsidP="00510EAE">
            <w:pPr>
              <w:ind w:right="567"/>
              <w:jc w:val="both"/>
              <w:rPr>
                <w:color w:val="000000" w:themeColor="text1"/>
              </w:rPr>
            </w:pPr>
            <w:r w:rsidRPr="00545D48">
              <w:rPr>
                <w:color w:val="000000" w:themeColor="text1"/>
              </w:rPr>
              <w:t>Företag 2</w:t>
            </w:r>
          </w:p>
        </w:tc>
        <w:tc>
          <w:tcPr>
            <w:tcW w:w="2268" w:type="dxa"/>
          </w:tcPr>
          <w:p w14:paraId="07514A71" w14:textId="668A2A8B" w:rsidR="008C235D" w:rsidRPr="00545D48" w:rsidRDefault="00FC4DC9" w:rsidP="00510EAE">
            <w:pPr>
              <w:ind w:right="567"/>
              <w:jc w:val="both"/>
              <w:rPr>
                <w:color w:val="000000" w:themeColor="text1"/>
              </w:rPr>
            </w:pPr>
            <w:r w:rsidRPr="00545D48">
              <w:rPr>
                <w:color w:val="000000" w:themeColor="text1"/>
              </w:rPr>
              <w:t>27 500 000</w:t>
            </w:r>
          </w:p>
        </w:tc>
        <w:tc>
          <w:tcPr>
            <w:tcW w:w="1418" w:type="dxa"/>
          </w:tcPr>
          <w:p w14:paraId="54A17A2F" w14:textId="2AE2089A" w:rsidR="008C235D" w:rsidRPr="00545D48" w:rsidRDefault="00E04144" w:rsidP="00510EAE">
            <w:pPr>
              <w:ind w:right="567"/>
              <w:jc w:val="both"/>
              <w:rPr>
                <w:color w:val="000000" w:themeColor="text1"/>
              </w:rPr>
            </w:pPr>
            <w:r w:rsidRPr="00545D48">
              <w:rPr>
                <w:color w:val="000000" w:themeColor="text1"/>
              </w:rPr>
              <w:t>3%</w:t>
            </w:r>
          </w:p>
        </w:tc>
        <w:tc>
          <w:tcPr>
            <w:tcW w:w="2244" w:type="dxa"/>
          </w:tcPr>
          <w:p w14:paraId="51D95290" w14:textId="3D311675" w:rsidR="008C235D" w:rsidRPr="00545D48" w:rsidRDefault="006A293B" w:rsidP="00510EAE">
            <w:pPr>
              <w:ind w:right="567"/>
              <w:jc w:val="both"/>
              <w:rPr>
                <w:color w:val="000000" w:themeColor="text1"/>
              </w:rPr>
            </w:pPr>
            <w:r w:rsidRPr="00545D48">
              <w:rPr>
                <w:color w:val="000000" w:themeColor="text1"/>
              </w:rPr>
              <w:t>960 000</w:t>
            </w:r>
          </w:p>
        </w:tc>
      </w:tr>
      <w:tr w:rsidR="00545D48" w:rsidRPr="00545D48" w14:paraId="67352056" w14:textId="77777777" w:rsidTr="00F0218A">
        <w:tc>
          <w:tcPr>
            <w:tcW w:w="1696" w:type="dxa"/>
          </w:tcPr>
          <w:p w14:paraId="1DE9CC94" w14:textId="0CEC19EE" w:rsidR="008C235D" w:rsidRPr="00545D48" w:rsidRDefault="008C235D" w:rsidP="00FA6C6B">
            <w:pPr>
              <w:ind w:right="567"/>
              <w:jc w:val="both"/>
              <w:rPr>
                <w:color w:val="000000" w:themeColor="text1"/>
              </w:rPr>
            </w:pPr>
          </w:p>
        </w:tc>
        <w:tc>
          <w:tcPr>
            <w:tcW w:w="2268" w:type="dxa"/>
          </w:tcPr>
          <w:p w14:paraId="2D5A1BBD" w14:textId="77777777" w:rsidR="008C235D" w:rsidRPr="00545D48" w:rsidRDefault="008C235D" w:rsidP="00FA6C6B">
            <w:pPr>
              <w:ind w:right="567"/>
              <w:jc w:val="both"/>
              <w:rPr>
                <w:color w:val="000000" w:themeColor="text1"/>
              </w:rPr>
            </w:pPr>
          </w:p>
        </w:tc>
        <w:tc>
          <w:tcPr>
            <w:tcW w:w="1418" w:type="dxa"/>
          </w:tcPr>
          <w:p w14:paraId="74E6F08F" w14:textId="4CACF563" w:rsidR="008C235D" w:rsidRPr="00545D48" w:rsidRDefault="00E04144" w:rsidP="00FA6C6B">
            <w:pPr>
              <w:ind w:right="567"/>
              <w:jc w:val="both"/>
              <w:rPr>
                <w:color w:val="000000" w:themeColor="text1"/>
              </w:rPr>
            </w:pPr>
            <w:r w:rsidRPr="00545D48">
              <w:rPr>
                <w:color w:val="000000" w:themeColor="text1"/>
              </w:rPr>
              <w:t>4</w:t>
            </w:r>
            <w:r w:rsidR="008C235D" w:rsidRPr="00545D48">
              <w:rPr>
                <w:color w:val="000000" w:themeColor="text1"/>
              </w:rPr>
              <w:t xml:space="preserve"> %</w:t>
            </w:r>
          </w:p>
        </w:tc>
        <w:tc>
          <w:tcPr>
            <w:tcW w:w="2244" w:type="dxa"/>
          </w:tcPr>
          <w:p w14:paraId="5AA7820D" w14:textId="60B9C376" w:rsidR="008C235D" w:rsidRPr="00545D48" w:rsidRDefault="006A293B" w:rsidP="00FA6C6B">
            <w:pPr>
              <w:ind w:right="567"/>
              <w:jc w:val="both"/>
              <w:rPr>
                <w:color w:val="000000" w:themeColor="text1"/>
              </w:rPr>
            </w:pPr>
            <w:r w:rsidRPr="00545D48">
              <w:rPr>
                <w:color w:val="000000" w:themeColor="text1"/>
              </w:rPr>
              <w:t>1 280 000</w:t>
            </w:r>
          </w:p>
        </w:tc>
      </w:tr>
      <w:tr w:rsidR="00545D48" w:rsidRPr="00545D48" w14:paraId="576FCE04" w14:textId="77777777" w:rsidTr="00F0218A">
        <w:tc>
          <w:tcPr>
            <w:tcW w:w="1696" w:type="dxa"/>
          </w:tcPr>
          <w:p w14:paraId="7D68E7FB" w14:textId="7B59334F" w:rsidR="008C235D" w:rsidRPr="00545D48" w:rsidRDefault="008F1419" w:rsidP="00510EAE">
            <w:pPr>
              <w:ind w:right="567"/>
              <w:jc w:val="both"/>
              <w:rPr>
                <w:color w:val="000000" w:themeColor="text1"/>
              </w:rPr>
            </w:pPr>
            <w:r w:rsidRPr="00545D48">
              <w:rPr>
                <w:color w:val="000000" w:themeColor="text1"/>
              </w:rPr>
              <w:t>Företag 3</w:t>
            </w:r>
          </w:p>
        </w:tc>
        <w:tc>
          <w:tcPr>
            <w:tcW w:w="2268" w:type="dxa"/>
          </w:tcPr>
          <w:p w14:paraId="3C98756E" w14:textId="5BCAD63B" w:rsidR="008C235D" w:rsidRPr="00545D48" w:rsidRDefault="00486F9E" w:rsidP="00510EAE">
            <w:pPr>
              <w:ind w:right="567"/>
              <w:jc w:val="both"/>
              <w:rPr>
                <w:color w:val="000000" w:themeColor="text1"/>
              </w:rPr>
            </w:pPr>
            <w:r w:rsidRPr="00545D48">
              <w:rPr>
                <w:color w:val="000000" w:themeColor="text1"/>
              </w:rPr>
              <w:t>1 100</w:t>
            </w:r>
            <w:r w:rsidR="00F0218A" w:rsidRPr="00545D48">
              <w:rPr>
                <w:color w:val="000000" w:themeColor="text1"/>
              </w:rPr>
              <w:t> </w:t>
            </w:r>
            <w:r w:rsidRPr="00545D48">
              <w:rPr>
                <w:color w:val="000000" w:themeColor="text1"/>
              </w:rPr>
              <w:t>000</w:t>
            </w:r>
            <w:r w:rsidR="00F0218A" w:rsidRPr="00545D48">
              <w:rPr>
                <w:color w:val="000000" w:themeColor="text1"/>
              </w:rPr>
              <w:t xml:space="preserve"> 000</w:t>
            </w:r>
          </w:p>
        </w:tc>
        <w:tc>
          <w:tcPr>
            <w:tcW w:w="1418" w:type="dxa"/>
          </w:tcPr>
          <w:p w14:paraId="3FDDD082" w14:textId="4B5667D7" w:rsidR="008C235D" w:rsidRPr="00545D48" w:rsidRDefault="00486F9E" w:rsidP="00510EAE">
            <w:pPr>
              <w:ind w:right="567"/>
              <w:jc w:val="both"/>
              <w:rPr>
                <w:color w:val="000000" w:themeColor="text1"/>
              </w:rPr>
            </w:pPr>
            <w:r w:rsidRPr="00545D48">
              <w:rPr>
                <w:color w:val="000000" w:themeColor="text1"/>
              </w:rPr>
              <w:t>1,5 %</w:t>
            </w:r>
          </w:p>
        </w:tc>
        <w:tc>
          <w:tcPr>
            <w:tcW w:w="2244" w:type="dxa"/>
          </w:tcPr>
          <w:p w14:paraId="3B94D302" w14:textId="786DA808" w:rsidR="008C235D" w:rsidRPr="00545D48" w:rsidRDefault="004926C2" w:rsidP="00510EAE">
            <w:pPr>
              <w:ind w:right="567"/>
              <w:jc w:val="both"/>
              <w:rPr>
                <w:color w:val="000000" w:themeColor="text1"/>
              </w:rPr>
            </w:pPr>
            <w:r w:rsidRPr="00545D48">
              <w:rPr>
                <w:color w:val="000000" w:themeColor="text1"/>
              </w:rPr>
              <w:t>16 500 000</w:t>
            </w:r>
          </w:p>
        </w:tc>
      </w:tr>
      <w:tr w:rsidR="00545D48" w:rsidRPr="00545D48" w14:paraId="5EFA577B" w14:textId="77777777" w:rsidTr="00F0218A">
        <w:tc>
          <w:tcPr>
            <w:tcW w:w="1696" w:type="dxa"/>
          </w:tcPr>
          <w:p w14:paraId="150DBB93" w14:textId="77777777" w:rsidR="008C235D" w:rsidRPr="00545D48" w:rsidRDefault="008C235D" w:rsidP="00510EAE">
            <w:pPr>
              <w:ind w:right="567"/>
              <w:jc w:val="both"/>
              <w:rPr>
                <w:color w:val="000000" w:themeColor="text1"/>
              </w:rPr>
            </w:pPr>
          </w:p>
        </w:tc>
        <w:tc>
          <w:tcPr>
            <w:tcW w:w="2268" w:type="dxa"/>
          </w:tcPr>
          <w:p w14:paraId="4AE1BC89" w14:textId="77777777" w:rsidR="008C235D" w:rsidRPr="00545D48" w:rsidRDefault="008C235D" w:rsidP="00510EAE">
            <w:pPr>
              <w:ind w:right="567"/>
              <w:jc w:val="both"/>
              <w:rPr>
                <w:color w:val="000000" w:themeColor="text1"/>
              </w:rPr>
            </w:pPr>
          </w:p>
        </w:tc>
        <w:tc>
          <w:tcPr>
            <w:tcW w:w="1418" w:type="dxa"/>
          </w:tcPr>
          <w:p w14:paraId="510AAE35" w14:textId="4CDA9033" w:rsidR="008C235D" w:rsidRPr="00545D48" w:rsidRDefault="00486F9E" w:rsidP="00510EAE">
            <w:pPr>
              <w:ind w:right="567"/>
              <w:jc w:val="both"/>
              <w:rPr>
                <w:color w:val="000000" w:themeColor="text1"/>
              </w:rPr>
            </w:pPr>
            <w:r w:rsidRPr="00545D48">
              <w:rPr>
                <w:color w:val="000000" w:themeColor="text1"/>
              </w:rPr>
              <w:t>2 %</w:t>
            </w:r>
          </w:p>
        </w:tc>
        <w:tc>
          <w:tcPr>
            <w:tcW w:w="2244" w:type="dxa"/>
          </w:tcPr>
          <w:p w14:paraId="21CA0A50" w14:textId="0AD34417" w:rsidR="008C235D" w:rsidRPr="00545D48" w:rsidRDefault="00F35D91" w:rsidP="00510EAE">
            <w:pPr>
              <w:ind w:right="567"/>
              <w:jc w:val="both"/>
              <w:rPr>
                <w:color w:val="000000" w:themeColor="text1"/>
              </w:rPr>
            </w:pPr>
            <w:r w:rsidRPr="00545D48">
              <w:rPr>
                <w:color w:val="000000" w:themeColor="text1"/>
              </w:rPr>
              <w:t>22 000 000</w:t>
            </w:r>
          </w:p>
        </w:tc>
      </w:tr>
    </w:tbl>
    <w:p w14:paraId="21FC92DD" w14:textId="77777777" w:rsidR="00E46BEB" w:rsidRDefault="00E46BEB" w:rsidP="00A36281">
      <w:pPr>
        <w:ind w:left="-567" w:right="567"/>
        <w:jc w:val="both"/>
      </w:pPr>
    </w:p>
    <w:p w14:paraId="50C66F92" w14:textId="749405D4" w:rsidR="00D70BFF" w:rsidRDefault="005718B0" w:rsidP="00A36281">
      <w:pPr>
        <w:ind w:left="-567" w:right="567"/>
        <w:jc w:val="both"/>
      </w:pPr>
      <w:r>
        <w:t xml:space="preserve">Ett system där bidragen till fonden baseras på resegarantipliktig </w:t>
      </w:r>
      <w:r w:rsidR="000E1A14">
        <w:t>omsättning, medför</w:t>
      </w:r>
      <w:r w:rsidR="008A7216">
        <w:t xml:space="preserve"> vidare</w:t>
      </w:r>
      <w:r w:rsidR="000E1A14">
        <w:t xml:space="preserve"> mindre </w:t>
      </w:r>
      <w:r w:rsidR="00586AE7">
        <w:t>administration för såväl företagen som Kammarkollegiet.</w:t>
      </w:r>
      <w:r w:rsidR="00264DC2">
        <w:t xml:space="preserve"> </w:t>
      </w:r>
      <w:r w:rsidR="00586AE7">
        <w:t xml:space="preserve">För renodlade arrangörer kommer </w:t>
      </w:r>
      <w:r w:rsidR="00181F94">
        <w:t>omsättningen i årsredovisningen</w:t>
      </w:r>
      <w:r w:rsidR="00D9342D">
        <w:t xml:space="preserve"> många gånger</w:t>
      </w:r>
      <w:r w:rsidR="00181F94">
        <w:t xml:space="preserve"> att utgöra den resegarantipliktiga omsättning, vilket även kommer att </w:t>
      </w:r>
      <w:r w:rsidR="009A2D1F">
        <w:t>minska risken för att företag anmäler en för låg omsättning och därmed ställer för låg garanti.</w:t>
      </w:r>
      <w:r w:rsidR="00593D6F">
        <w:t xml:space="preserve"> För reseföretag som både agerar som resebyrå och researrangör kommer det att krävas </w:t>
      </w:r>
      <w:r w:rsidR="00F02C7A">
        <w:t xml:space="preserve">viss </w:t>
      </w:r>
      <w:r w:rsidR="00593D6F">
        <w:t>administration för att beräkna den resegarantipliktig omsättningen</w:t>
      </w:r>
      <w:r w:rsidR="00F83048">
        <w:t>, eftersom ett sådant företag inte behöver ställa säkerhet för förmedlade produkter, utan endast de paketres</w:t>
      </w:r>
      <w:r w:rsidR="00972CF3">
        <w:t>o</w:t>
      </w:r>
      <w:r w:rsidR="00F83048">
        <w:t>r som företaget själv anordnar</w:t>
      </w:r>
      <w:r w:rsidR="00972CF3">
        <w:t>. Enligt SRF:s bedömning skulle administr</w:t>
      </w:r>
      <w:r w:rsidR="00247526">
        <w:t>ationen bli större för dessa företag</w:t>
      </w:r>
      <w:r w:rsidR="00FB0A02">
        <w:t xml:space="preserve"> än för renodlade arrangörer</w:t>
      </w:r>
      <w:r w:rsidR="00247526">
        <w:t>, men</w:t>
      </w:r>
      <w:r w:rsidR="00FB0A02">
        <w:t xml:space="preserve"> administrationen kommer att minska jämfört med idag </w:t>
      </w:r>
      <w:r w:rsidR="0058697C">
        <w:t xml:space="preserve">både för beräkningen av hur stor garanti som ska ställas </w:t>
      </w:r>
      <w:r w:rsidR="00FB0A02">
        <w:t xml:space="preserve">och </w:t>
      </w:r>
      <w:r w:rsidR="00247526">
        <w:t>i</w:t>
      </w:r>
      <w:r w:rsidR="0058697C">
        <w:t xml:space="preserve"> synnerhet på grund av </w:t>
      </w:r>
      <w:r w:rsidR="00247526">
        <w:t xml:space="preserve">att </w:t>
      </w:r>
      <w:r w:rsidR="00A2034E">
        <w:t>det inte kommer att finnas behov av någon uppföljning.</w:t>
      </w:r>
    </w:p>
    <w:p w14:paraId="55943129" w14:textId="77777777" w:rsidR="009F540C" w:rsidRDefault="009F540C" w:rsidP="00A36281">
      <w:pPr>
        <w:ind w:left="-567" w:right="567"/>
        <w:jc w:val="both"/>
      </w:pPr>
    </w:p>
    <w:p w14:paraId="1616FBA8" w14:textId="77777777" w:rsidR="000348BF" w:rsidRDefault="00AB1323" w:rsidP="000348BF">
      <w:pPr>
        <w:ind w:left="-567" w:right="567"/>
        <w:jc w:val="both"/>
      </w:pPr>
      <w:r w:rsidRPr="00545D48">
        <w:t>Vi vill i detta sammanhang poängtera att det är viktigt att det finns någon form av kontrollfunktion i det nya systemet, för att undvika att företag medvetet eller omedvetet anmäler för låga siffror.</w:t>
      </w:r>
    </w:p>
    <w:p w14:paraId="2AEFE63D" w14:textId="77777777" w:rsidR="000348BF" w:rsidRDefault="000348BF" w:rsidP="000348BF">
      <w:pPr>
        <w:ind w:left="-567" w:right="567"/>
        <w:jc w:val="both"/>
      </w:pPr>
    </w:p>
    <w:p w14:paraId="24B20CE6" w14:textId="0AC10BD7" w:rsidR="006741EE" w:rsidRPr="000348BF" w:rsidRDefault="006741EE" w:rsidP="000348BF">
      <w:pPr>
        <w:ind w:left="-567" w:right="567"/>
        <w:jc w:val="both"/>
      </w:pPr>
      <w:r w:rsidRPr="000348BF">
        <w:rPr>
          <w:i/>
          <w:iCs/>
        </w:rPr>
        <w:t>Risk för att svenska företag flyttar utomlands</w:t>
      </w:r>
    </w:p>
    <w:p w14:paraId="69F01A56" w14:textId="77777777" w:rsidR="00F061EF" w:rsidRDefault="00FC528F" w:rsidP="00A36281">
      <w:pPr>
        <w:ind w:left="-567" w:right="567"/>
        <w:jc w:val="both"/>
      </w:pPr>
      <w:r>
        <w:t xml:space="preserve">Som ovan konstaterats kommer ett system där företagen under ett antal år ska ställa en högre individuell garanti och samtidigt betala in bidrag till fonden </w:t>
      </w:r>
      <w:r w:rsidRPr="00611B93">
        <w:rPr>
          <w:color w:val="000000" w:themeColor="text1"/>
        </w:rPr>
        <w:t>medföra</w:t>
      </w:r>
      <w:r w:rsidR="0058697C" w:rsidRPr="00611B93">
        <w:rPr>
          <w:color w:val="000000" w:themeColor="text1"/>
        </w:rPr>
        <w:t xml:space="preserve"> en</w:t>
      </w:r>
      <w:r w:rsidR="001A3AC2" w:rsidRPr="00611B93">
        <w:rPr>
          <w:color w:val="000000" w:themeColor="text1"/>
        </w:rPr>
        <w:t xml:space="preserve"> kraftigt ökad kostnad för att ställa resegaranti. </w:t>
      </w:r>
      <w:r w:rsidR="00EA0EB4" w:rsidRPr="00611B93">
        <w:rPr>
          <w:color w:val="000000" w:themeColor="text1"/>
        </w:rPr>
        <w:t xml:space="preserve">Efter pandemin har kostnaderna för att ställa resegaranti kraftigt ökat för företagen på grund av att såväl banker som </w:t>
      </w:r>
      <w:r w:rsidR="00BF6E32" w:rsidRPr="00611B93">
        <w:rPr>
          <w:color w:val="000000" w:themeColor="text1"/>
        </w:rPr>
        <w:t>försäkringsbolag kraftigt höjt sina avgifter och premier.</w:t>
      </w:r>
      <w:r w:rsidR="0058697C" w:rsidRPr="00611B93">
        <w:rPr>
          <w:color w:val="000000" w:themeColor="text1"/>
        </w:rPr>
        <w:t xml:space="preserve"> </w:t>
      </w:r>
      <w:r w:rsidR="00BF6E32" w:rsidRPr="00611B93">
        <w:rPr>
          <w:color w:val="000000" w:themeColor="text1"/>
        </w:rPr>
        <w:t xml:space="preserve">Om kostnaderna </w:t>
      </w:r>
      <w:r w:rsidR="00267D99" w:rsidRPr="00611B93">
        <w:rPr>
          <w:color w:val="000000" w:themeColor="text1"/>
        </w:rPr>
        <w:t>skulle</w:t>
      </w:r>
      <w:r w:rsidR="00BF6E32" w:rsidRPr="00611B93">
        <w:rPr>
          <w:color w:val="000000" w:themeColor="text1"/>
        </w:rPr>
        <w:t xml:space="preserve"> öka ytterligare med det nya systemet</w:t>
      </w:r>
      <w:r w:rsidR="00267D99" w:rsidRPr="00611B93">
        <w:rPr>
          <w:color w:val="000000" w:themeColor="text1"/>
        </w:rPr>
        <w:t xml:space="preserve"> föreligger en </w:t>
      </w:r>
      <w:r w:rsidR="0058697C">
        <w:t>överhängande risk för</w:t>
      </w:r>
      <w:r>
        <w:t xml:space="preserve"> att företag kommer att flytta ut verksamheten från Sverige</w:t>
      </w:r>
      <w:r w:rsidR="00A575F8">
        <w:t>. Ett införande av ett nytt system enligt förslaget förutsätter därför att staten</w:t>
      </w:r>
      <w:r w:rsidR="00267D99">
        <w:t xml:space="preserve"> för det första</w:t>
      </w:r>
      <w:r w:rsidR="00A575F8">
        <w:t xml:space="preserve"> under uppbyggnadsfasen</w:t>
      </w:r>
      <w:r w:rsidR="00310BA4">
        <w:t xml:space="preserve"> garanterar fondkapitalet. </w:t>
      </w:r>
    </w:p>
    <w:p w14:paraId="2163CE4C" w14:textId="77777777" w:rsidR="00F061EF" w:rsidRDefault="00F061EF" w:rsidP="00A36281">
      <w:pPr>
        <w:ind w:left="-567" w:right="567"/>
        <w:jc w:val="both"/>
      </w:pPr>
    </w:p>
    <w:p w14:paraId="3AC61C75" w14:textId="11DC9136" w:rsidR="00A76B6F" w:rsidRDefault="00AC59ED" w:rsidP="00A76B6F">
      <w:pPr>
        <w:ind w:left="-567" w:right="567"/>
        <w:jc w:val="both"/>
      </w:pPr>
      <w:r>
        <w:t xml:space="preserve">Ett nytt resegarantisystem bör därför om möjligt och utan att det innebär en försämring av konsumentskyddet, </w:t>
      </w:r>
      <w:r w:rsidR="007E6CD2">
        <w:t>minska kostnaderna för företagen</w:t>
      </w:r>
      <w:r w:rsidR="00611B93">
        <w:t>, inte bara långsiktigt utan även under uppbyggnadsfasen</w:t>
      </w:r>
      <w:r w:rsidR="007E6CD2">
        <w:t xml:space="preserve"> Med en avgift på</w:t>
      </w:r>
      <w:r w:rsidR="00435417">
        <w:t xml:space="preserve"> 40 respektive 80 kronor alternativt </w:t>
      </w:r>
      <w:r w:rsidR="00AE5E2A">
        <w:t>1</w:t>
      </w:r>
      <w:r w:rsidR="007E6CD2">
        <w:t xml:space="preserve"> %</w:t>
      </w:r>
      <w:r w:rsidR="00AE5E2A">
        <w:t xml:space="preserve"> av omsättningen (som i Tyskland)</w:t>
      </w:r>
      <w:r w:rsidR="007E6CD2">
        <w:t xml:space="preserve"> skulle företagens kostnader under uppbyggnad</w:t>
      </w:r>
      <w:r w:rsidR="00E50D19">
        <w:t>en</w:t>
      </w:r>
      <w:r w:rsidR="005E51EE">
        <w:t xml:space="preserve"> öka kraftigt. </w:t>
      </w:r>
      <w:r w:rsidR="00FF53B8">
        <w:t>M</w:t>
      </w:r>
      <w:r w:rsidR="005E51EE">
        <w:t>ed en statlig garanti</w:t>
      </w:r>
      <w:r w:rsidR="00FF53B8">
        <w:t xml:space="preserve"> skulle</w:t>
      </w:r>
      <w:r w:rsidR="005E51EE">
        <w:t xml:space="preserve"> inte </w:t>
      </w:r>
      <w:r w:rsidR="00FF53B8">
        <w:lastRenderedPageBreak/>
        <w:t>föreligga</w:t>
      </w:r>
      <w:r w:rsidR="005E51EE">
        <w:t xml:space="preserve"> samma behov av att bygga ut fonden fullt under kort tid</w:t>
      </w:r>
      <w:r w:rsidR="00FF53B8">
        <w:t xml:space="preserve">. För att säkerställa att det nya systemet fungerar och </w:t>
      </w:r>
      <w:r w:rsidR="007739A6">
        <w:t xml:space="preserve">att konsumenter därigenom erhåller det skydd som avsetts, bör antingen </w:t>
      </w:r>
      <w:r w:rsidR="00E50D19">
        <w:t>fler nivåer på det nominella beloppet införas</w:t>
      </w:r>
      <w:r w:rsidR="00446380">
        <w:t xml:space="preserve"> eller procentsatsen för beräknande av bidraget sättas väsentligt</w:t>
      </w:r>
      <w:r w:rsidR="00A76B6F">
        <w:t xml:space="preserve"> lägre än 1 %.</w:t>
      </w:r>
    </w:p>
    <w:p w14:paraId="47A52967" w14:textId="77777777" w:rsidR="00A76B6F" w:rsidRDefault="00A76B6F" w:rsidP="00A76B6F">
      <w:pPr>
        <w:ind w:left="-567" w:right="567"/>
        <w:jc w:val="both"/>
      </w:pPr>
    </w:p>
    <w:p w14:paraId="2B3E6FC1" w14:textId="7B4B32AA" w:rsidR="00FC528F" w:rsidRPr="004C6331" w:rsidRDefault="006304C9" w:rsidP="00A36281">
      <w:pPr>
        <w:ind w:left="-567" w:right="567"/>
        <w:jc w:val="both"/>
        <w:rPr>
          <w:color w:val="000000" w:themeColor="text1"/>
        </w:rPr>
      </w:pPr>
      <w:r w:rsidRPr="004C6331">
        <w:rPr>
          <w:color w:val="000000" w:themeColor="text1"/>
        </w:rPr>
        <w:t xml:space="preserve">I detta avseende </w:t>
      </w:r>
      <w:r w:rsidR="00236029" w:rsidRPr="004C6331">
        <w:rPr>
          <w:color w:val="000000" w:themeColor="text1"/>
        </w:rPr>
        <w:t>är det viktigt</w:t>
      </w:r>
      <w:r w:rsidR="001577AF" w:rsidRPr="004C6331">
        <w:rPr>
          <w:color w:val="000000" w:themeColor="text1"/>
        </w:rPr>
        <w:t xml:space="preserve"> att bolagens</w:t>
      </w:r>
      <w:r w:rsidR="000855C6" w:rsidRPr="004C6331">
        <w:rPr>
          <w:color w:val="000000" w:themeColor="text1"/>
        </w:rPr>
        <w:t xml:space="preserve"> totala kostnad </w:t>
      </w:r>
      <w:r w:rsidR="001577AF" w:rsidRPr="004C6331">
        <w:rPr>
          <w:color w:val="000000" w:themeColor="text1"/>
        </w:rPr>
        <w:t>för resegaranti beaktas</w:t>
      </w:r>
      <w:r w:rsidR="006C5303" w:rsidRPr="004C6331">
        <w:rPr>
          <w:color w:val="000000" w:themeColor="text1"/>
        </w:rPr>
        <w:t xml:space="preserve">. </w:t>
      </w:r>
      <w:r w:rsidR="00A76B6F" w:rsidRPr="004C6331">
        <w:rPr>
          <w:color w:val="000000" w:themeColor="text1"/>
        </w:rPr>
        <w:t>I exemplen</w:t>
      </w:r>
      <w:r w:rsidR="006C5303" w:rsidRPr="004C6331">
        <w:rPr>
          <w:color w:val="000000" w:themeColor="text1"/>
        </w:rPr>
        <w:t xml:space="preserve"> ovan </w:t>
      </w:r>
      <w:r w:rsidR="00A76B6F" w:rsidRPr="004C6331">
        <w:rPr>
          <w:color w:val="000000" w:themeColor="text1"/>
        </w:rPr>
        <w:t>berörs</w:t>
      </w:r>
      <w:r w:rsidR="00B96613" w:rsidRPr="004C6331">
        <w:rPr>
          <w:color w:val="000000" w:themeColor="text1"/>
        </w:rPr>
        <w:t xml:space="preserve"> enbart om kostnaden </w:t>
      </w:r>
      <w:r w:rsidR="00BB76D1" w:rsidRPr="004C6331">
        <w:rPr>
          <w:color w:val="000000" w:themeColor="text1"/>
        </w:rPr>
        <w:t>för bidragen till fonden</w:t>
      </w:r>
      <w:r w:rsidR="00FF4963" w:rsidRPr="004C6331">
        <w:rPr>
          <w:color w:val="000000" w:themeColor="text1"/>
        </w:rPr>
        <w:t xml:space="preserve">. Därutöver bygger det nya systemet </w:t>
      </w:r>
      <w:r w:rsidR="00656C3F" w:rsidRPr="004C6331">
        <w:rPr>
          <w:color w:val="000000" w:themeColor="text1"/>
        </w:rPr>
        <w:t>på att företagen även ställer en individuell garanti</w:t>
      </w:r>
      <w:r w:rsidR="003A4B78" w:rsidRPr="004C6331">
        <w:rPr>
          <w:color w:val="000000" w:themeColor="text1"/>
        </w:rPr>
        <w:t xml:space="preserve"> motsvarande 25 % av vad de ställer med dagens system. De individuella garantierna </w:t>
      </w:r>
      <w:r w:rsidR="00DF6445" w:rsidRPr="004C6331">
        <w:rPr>
          <w:color w:val="000000" w:themeColor="text1"/>
        </w:rPr>
        <w:t xml:space="preserve">kommer för merparten av företagen att ställas på samma sätt som idag, dvs genom bankgarantier eller betalningsutfästelser från försäkringsbolag. Det innebär att företagen, utöver bidragen till fonden, även kommer att ha kostnader för </w:t>
      </w:r>
      <w:r w:rsidR="00D36228" w:rsidRPr="004C6331">
        <w:rPr>
          <w:color w:val="000000" w:themeColor="text1"/>
        </w:rPr>
        <w:t xml:space="preserve">avgift till bank eller premie till försäkringsbolag. Den sammanlagda kostnaden för at ställa garanti </w:t>
      </w:r>
      <w:r w:rsidR="00EA749B" w:rsidRPr="004C6331">
        <w:rPr>
          <w:color w:val="000000" w:themeColor="text1"/>
        </w:rPr>
        <w:t>får inte bli högre än de kostnader som företagen idag har.</w:t>
      </w:r>
    </w:p>
    <w:p w14:paraId="11AE137C" w14:textId="77777777" w:rsidR="00FC528F" w:rsidRPr="004C6331" w:rsidRDefault="00FC528F" w:rsidP="00A36281">
      <w:pPr>
        <w:ind w:left="-567" w:right="567"/>
        <w:jc w:val="both"/>
        <w:rPr>
          <w:color w:val="000000" w:themeColor="text1"/>
        </w:rPr>
      </w:pPr>
    </w:p>
    <w:p w14:paraId="32AD648C" w14:textId="2696CC67" w:rsidR="005809C8" w:rsidRPr="004C6331" w:rsidRDefault="005809C8" w:rsidP="00A36281">
      <w:pPr>
        <w:ind w:left="-567" w:right="567"/>
        <w:jc w:val="both"/>
        <w:rPr>
          <w:i/>
          <w:iCs/>
          <w:color w:val="000000" w:themeColor="text1"/>
        </w:rPr>
      </w:pPr>
      <w:r w:rsidRPr="004C6331">
        <w:rPr>
          <w:i/>
          <w:iCs/>
          <w:color w:val="000000" w:themeColor="text1"/>
        </w:rPr>
        <w:t>Tid för att bygga upp fonden</w:t>
      </w:r>
    </w:p>
    <w:p w14:paraId="63BED9C2" w14:textId="094F327E" w:rsidR="005809C8" w:rsidRPr="004C6331" w:rsidRDefault="005809C8" w:rsidP="00A36281">
      <w:pPr>
        <w:ind w:left="-567" w:right="567"/>
        <w:jc w:val="both"/>
        <w:rPr>
          <w:color w:val="000000" w:themeColor="text1"/>
        </w:rPr>
      </w:pPr>
      <w:r w:rsidRPr="004C6331">
        <w:rPr>
          <w:color w:val="000000" w:themeColor="text1"/>
        </w:rPr>
        <w:t xml:space="preserve">Enligt förslaget ska fonden byggas upp under fem år. </w:t>
      </w:r>
      <w:r w:rsidR="003D2F5E" w:rsidRPr="004C6331">
        <w:rPr>
          <w:color w:val="000000" w:themeColor="text1"/>
        </w:rPr>
        <w:t xml:space="preserve">En anledning till att man valt att föreslå en förhållandevis snabb uppbyggnad av fonden är att </w:t>
      </w:r>
      <w:r w:rsidR="00385683" w:rsidRPr="004C6331">
        <w:rPr>
          <w:color w:val="000000" w:themeColor="text1"/>
        </w:rPr>
        <w:t>de nya regler som föreslås</w:t>
      </w:r>
      <w:r w:rsidR="004C6331">
        <w:rPr>
          <w:color w:val="000000" w:themeColor="text1"/>
        </w:rPr>
        <w:t>,</w:t>
      </w:r>
      <w:r w:rsidR="00C54A12">
        <w:rPr>
          <w:color w:val="000000" w:themeColor="text1"/>
        </w:rPr>
        <w:t xml:space="preserve"> dvs</w:t>
      </w:r>
      <w:r w:rsidR="00385683" w:rsidRPr="004C6331">
        <w:rPr>
          <w:color w:val="000000" w:themeColor="text1"/>
        </w:rPr>
        <w:t xml:space="preserve"> utvidgning av konsumentskyddet</w:t>
      </w:r>
      <w:r w:rsidR="00C54A12">
        <w:rPr>
          <w:color w:val="000000" w:themeColor="text1"/>
        </w:rPr>
        <w:t xml:space="preserve"> och</w:t>
      </w:r>
      <w:r w:rsidR="00385683" w:rsidRPr="004C6331">
        <w:rPr>
          <w:color w:val="000000" w:themeColor="text1"/>
        </w:rPr>
        <w:t xml:space="preserve"> regressrätt för kortföretag</w:t>
      </w:r>
      <w:r w:rsidR="00D65CF7" w:rsidRPr="004C6331">
        <w:rPr>
          <w:color w:val="000000" w:themeColor="text1"/>
        </w:rPr>
        <w:t>,</w:t>
      </w:r>
      <w:r w:rsidR="00385683" w:rsidRPr="004C6331">
        <w:rPr>
          <w:color w:val="000000" w:themeColor="text1"/>
        </w:rPr>
        <w:t xml:space="preserve"> inte </w:t>
      </w:r>
      <w:r w:rsidR="00C54A12">
        <w:rPr>
          <w:color w:val="000000" w:themeColor="text1"/>
        </w:rPr>
        <w:t>ska</w:t>
      </w:r>
      <w:r w:rsidR="00385683" w:rsidRPr="004C6331">
        <w:rPr>
          <w:color w:val="000000" w:themeColor="text1"/>
        </w:rPr>
        <w:t xml:space="preserve"> träda i kraft</w:t>
      </w:r>
      <w:r w:rsidR="00D65CF7" w:rsidRPr="004C6331">
        <w:rPr>
          <w:color w:val="000000" w:themeColor="text1"/>
        </w:rPr>
        <w:t xml:space="preserve"> förrän fonden är uppbyggd. Med en statlig garanti kan </w:t>
      </w:r>
      <w:r w:rsidR="00110236" w:rsidRPr="004C6331">
        <w:rPr>
          <w:color w:val="000000" w:themeColor="text1"/>
        </w:rPr>
        <w:t>hela lagförslaget träda i kraft omgående, vilket medför att behovet av att fonden byggs upp så fort som möjligt minskar.</w:t>
      </w:r>
    </w:p>
    <w:p w14:paraId="4316CFA0" w14:textId="77777777" w:rsidR="00047C05" w:rsidRPr="004C6331" w:rsidRDefault="00047C05" w:rsidP="00A36281">
      <w:pPr>
        <w:ind w:left="-567" w:right="567"/>
        <w:jc w:val="both"/>
        <w:rPr>
          <w:color w:val="000000" w:themeColor="text1"/>
        </w:rPr>
      </w:pPr>
    </w:p>
    <w:p w14:paraId="634CA727" w14:textId="540F92A3" w:rsidR="00E16E53" w:rsidRPr="004C6331" w:rsidRDefault="00047C05" w:rsidP="00E16E53">
      <w:pPr>
        <w:ind w:left="-567" w:right="567"/>
        <w:jc w:val="both"/>
        <w:rPr>
          <w:color w:val="000000" w:themeColor="text1"/>
        </w:rPr>
      </w:pPr>
      <w:r w:rsidRPr="004C6331">
        <w:rPr>
          <w:color w:val="000000" w:themeColor="text1"/>
        </w:rPr>
        <w:t>Med SRF:s förslag ovan</w:t>
      </w:r>
      <w:r w:rsidR="00EE481A" w:rsidRPr="004C6331">
        <w:rPr>
          <w:color w:val="000000" w:themeColor="text1"/>
        </w:rPr>
        <w:t>, där företagens bidrag till fonden beräknas på</w:t>
      </w:r>
      <w:r w:rsidR="00FA1D40" w:rsidRPr="004C6331">
        <w:rPr>
          <w:color w:val="000000" w:themeColor="text1"/>
        </w:rPr>
        <w:t xml:space="preserve"> lägre nominella belopp/fler nivåer på nominellt belopp</w:t>
      </w:r>
      <w:r w:rsidR="00240C84" w:rsidRPr="004C6331">
        <w:rPr>
          <w:color w:val="000000" w:themeColor="text1"/>
        </w:rPr>
        <w:t>, alternativt</w:t>
      </w:r>
      <w:r w:rsidR="00EE481A" w:rsidRPr="004C6331">
        <w:rPr>
          <w:color w:val="000000" w:themeColor="text1"/>
        </w:rPr>
        <w:t xml:space="preserve"> omsättning </w:t>
      </w:r>
      <w:proofErr w:type="gramStart"/>
      <w:r w:rsidR="00EE481A" w:rsidRPr="004C6331">
        <w:rPr>
          <w:color w:val="000000" w:themeColor="text1"/>
        </w:rPr>
        <w:t>istället</w:t>
      </w:r>
      <w:proofErr w:type="gramEnd"/>
      <w:r w:rsidR="00EE481A" w:rsidRPr="004C6331">
        <w:rPr>
          <w:color w:val="000000" w:themeColor="text1"/>
        </w:rPr>
        <w:t xml:space="preserve"> för </w:t>
      </w:r>
      <w:r w:rsidR="00576200" w:rsidRPr="004C6331">
        <w:rPr>
          <w:color w:val="000000" w:themeColor="text1"/>
        </w:rPr>
        <w:t xml:space="preserve">ett nominellt belopp per paketresa, kommer, beroende på </w:t>
      </w:r>
      <w:r w:rsidR="00240C84" w:rsidRPr="004C6331">
        <w:rPr>
          <w:color w:val="000000" w:themeColor="text1"/>
        </w:rPr>
        <w:t xml:space="preserve">vilka nivåer/belopp eller </w:t>
      </w:r>
      <w:r w:rsidR="00576200" w:rsidRPr="004C6331">
        <w:rPr>
          <w:color w:val="000000" w:themeColor="text1"/>
        </w:rPr>
        <w:t xml:space="preserve">vilken procentsats som väljs, uppbyggnaden av fonden att </w:t>
      </w:r>
      <w:r w:rsidR="00ED0A0D" w:rsidRPr="004C6331">
        <w:rPr>
          <w:color w:val="000000" w:themeColor="text1"/>
        </w:rPr>
        <w:t>ta längre tid.</w:t>
      </w:r>
    </w:p>
    <w:p w14:paraId="049603C1" w14:textId="77777777" w:rsidR="005809C8" w:rsidRDefault="005809C8" w:rsidP="00A36281">
      <w:pPr>
        <w:ind w:left="-567" w:right="567"/>
        <w:jc w:val="both"/>
      </w:pPr>
    </w:p>
    <w:p w14:paraId="6E305B9A" w14:textId="4D34E65D" w:rsidR="009F540C" w:rsidRPr="009F540C" w:rsidRDefault="009F540C" w:rsidP="00A36281">
      <w:pPr>
        <w:ind w:left="-567" w:right="567"/>
        <w:jc w:val="both"/>
        <w:rPr>
          <w:i/>
          <w:iCs/>
        </w:rPr>
      </w:pPr>
      <w:r w:rsidRPr="009F540C">
        <w:rPr>
          <w:i/>
          <w:iCs/>
        </w:rPr>
        <w:t>Nya företag</w:t>
      </w:r>
    </w:p>
    <w:p w14:paraId="6A1EEAA9" w14:textId="2F3959FE" w:rsidR="009F540C" w:rsidRDefault="009F540C" w:rsidP="00A36281">
      <w:pPr>
        <w:ind w:left="-567" w:right="567"/>
        <w:jc w:val="both"/>
      </w:pPr>
      <w:r>
        <w:t>När fonden väl är uppbyggd kommer företagen</w:t>
      </w:r>
      <w:r w:rsidR="00B03033">
        <w:t xml:space="preserve"> inte längre att</w:t>
      </w:r>
      <w:r w:rsidR="0008536E">
        <w:t xml:space="preserve"> behöva</w:t>
      </w:r>
      <w:r w:rsidR="00B03033">
        <w:t xml:space="preserve"> </w:t>
      </w:r>
      <w:r w:rsidR="00E71C83">
        <w:t xml:space="preserve">bidra till fonden, utan </w:t>
      </w:r>
      <w:r w:rsidR="007639C4">
        <w:t>ska enbart</w:t>
      </w:r>
      <w:r w:rsidR="000E1A14">
        <w:t xml:space="preserve"> ställa individuella garantier.</w:t>
      </w:r>
      <w:r w:rsidR="007639C4">
        <w:t xml:space="preserve"> Detta innebär att nya företag som tillkommer härefter, </w:t>
      </w:r>
      <w:r w:rsidR="008471E2">
        <w:t xml:space="preserve">omfattas av den fond som byggts upp av övriga företag. I många andra länder med fondsystem, betalar företagen en avgift till fonden, men enligt förslaget ska ingen ytterligare avgift tillkomma. </w:t>
      </w:r>
      <w:r w:rsidR="004D7769">
        <w:t>SRF anser att detta snedvrider konkurrensen mellan befintliga företag och nya företag. Det öppnar vidare upp för att företag under uppbyggnadsfasen flyttar verksamhet utom</w:t>
      </w:r>
      <w:r w:rsidR="00DE0E6D">
        <w:t>l</w:t>
      </w:r>
      <w:r w:rsidR="004D7769">
        <w:t xml:space="preserve">ands och ställer resegaranti ett annat land, </w:t>
      </w:r>
      <w:proofErr w:type="gramStart"/>
      <w:r w:rsidR="004D7769">
        <w:t>t.ex.</w:t>
      </w:r>
      <w:proofErr w:type="gramEnd"/>
      <w:r w:rsidR="004D7769">
        <w:t xml:space="preserve"> Danmark, för att sedan ”flytta hem” när fonden är uppbyggd. </w:t>
      </w:r>
      <w:r w:rsidR="00C762F2">
        <w:t xml:space="preserve">Vi anser därför att det måste införas någon form av </w:t>
      </w:r>
      <w:r w:rsidR="00E97072">
        <w:t>startkostnad</w:t>
      </w:r>
      <w:r w:rsidR="00C762F2">
        <w:t xml:space="preserve"> för nya företag, </w:t>
      </w:r>
      <w:proofErr w:type="gramStart"/>
      <w:r w:rsidR="00C762F2">
        <w:t>t.ex.</w:t>
      </w:r>
      <w:proofErr w:type="gramEnd"/>
      <w:r w:rsidR="00C762F2">
        <w:t xml:space="preserve"> att ett företag som </w:t>
      </w:r>
      <w:r w:rsidR="00DE0E6D">
        <w:t>tillkommer efter det att fonden byggts upp, under en tid måste ställa en högre individuell garanti.</w:t>
      </w:r>
      <w:r w:rsidR="00E97072">
        <w:t xml:space="preserve"> Man skulle </w:t>
      </w:r>
      <w:r w:rsidR="002A693C">
        <w:t>även kunna tänka sig en modell där den indivi</w:t>
      </w:r>
      <w:r w:rsidR="00D12B64">
        <w:t>d</w:t>
      </w:r>
      <w:r w:rsidR="002A693C">
        <w:t xml:space="preserve">uella garantin beräknas till 50 % av vad de skulle ställa med dagens system, och att </w:t>
      </w:r>
      <w:r w:rsidR="00DE1733">
        <w:t>hälften av dessa utgör individuell garanti, medan resterande del av garantin tillförs fonden.</w:t>
      </w:r>
    </w:p>
    <w:p w14:paraId="5E6A79CD" w14:textId="77777777" w:rsidR="009F540C" w:rsidRDefault="009F540C" w:rsidP="00A36281">
      <w:pPr>
        <w:ind w:left="-567" w:right="567"/>
        <w:jc w:val="both"/>
      </w:pPr>
    </w:p>
    <w:p w14:paraId="33DDAD35" w14:textId="6FA2B343" w:rsidR="003833F2" w:rsidRPr="00460E7F" w:rsidRDefault="00460E7F" w:rsidP="00A36281">
      <w:pPr>
        <w:ind w:left="-567" w:right="567"/>
        <w:jc w:val="both"/>
        <w:rPr>
          <w:i/>
          <w:iCs/>
        </w:rPr>
      </w:pPr>
      <w:r w:rsidRPr="00460E7F">
        <w:rPr>
          <w:i/>
          <w:iCs/>
        </w:rPr>
        <w:t>Resegaranti för regu</w:t>
      </w:r>
      <w:r>
        <w:rPr>
          <w:i/>
          <w:iCs/>
        </w:rPr>
        <w:t>l</w:t>
      </w:r>
      <w:r w:rsidRPr="00460E7F">
        <w:rPr>
          <w:i/>
          <w:iCs/>
        </w:rPr>
        <w:t>jära flygresor</w:t>
      </w:r>
    </w:p>
    <w:p w14:paraId="27BB9354" w14:textId="788E65F3" w:rsidR="00977E34" w:rsidRDefault="00460E7F" w:rsidP="00460E7F">
      <w:pPr>
        <w:ind w:left="-567" w:right="567"/>
        <w:jc w:val="both"/>
      </w:pPr>
      <w:r>
        <w:t xml:space="preserve">SRF ser mycket positivt på förslaget att även flygbolag ska ställa resegaranti. Under 2000-talet har ett stort antal flygbolag gått i konkurs, vilket drabbat ett stort antal resenärer som varken fått den flygresa de betalat för eller pengarna som de betalade för biljetten tillbaka. Om en flygbiljett ingår i en paketresa är det i stället arrangören som får stå för kostnaden, eftersom arrangören enligt paketreselagen är skyldig att köpa en ny flygbiljett med ett annat flygbolag eller att ställa in resan </w:t>
      </w:r>
      <w:r>
        <w:lastRenderedPageBreak/>
        <w:t>och återbetala hela resans pris. Arrangören får i dessa situationer inte tillbaka de betalningar som redan gjorts till flygbolaget, utan får betala den nya flygbiljetten eller återbetalningen till kunden ur egen kassa.</w:t>
      </w:r>
      <w:r w:rsidR="00D50BFE">
        <w:t xml:space="preserve"> </w:t>
      </w:r>
      <w:r w:rsidR="0085021E">
        <w:t>En resenär som har betalat med kort har vidare många gånger rätt att kräva återbetalning från kortföretaget</w:t>
      </w:r>
      <w:r w:rsidR="00577ED4">
        <w:t>.</w:t>
      </w:r>
      <w:r>
        <w:t xml:space="preserve"> Vid en flygbolagskonkurs är det således resenärerna</w:t>
      </w:r>
      <w:r w:rsidR="00577ED4">
        <w:t>,</w:t>
      </w:r>
      <w:r>
        <w:t xml:space="preserve"> reseföretag, ofta små eller medelstora bolag</w:t>
      </w:r>
      <w:r w:rsidR="00577ED4">
        <w:t xml:space="preserve"> eller kortföretag</w:t>
      </w:r>
      <w:r>
        <w:t xml:space="preserve"> som får stå kostnaden. </w:t>
      </w:r>
    </w:p>
    <w:p w14:paraId="11925497" w14:textId="77777777" w:rsidR="00977E34" w:rsidRDefault="00977E34" w:rsidP="00460E7F">
      <w:pPr>
        <w:ind w:left="-567" w:right="567"/>
        <w:jc w:val="both"/>
      </w:pPr>
    </w:p>
    <w:p w14:paraId="4CBDCBBD" w14:textId="399DCF8E" w:rsidR="00460E7F" w:rsidRDefault="00721617" w:rsidP="00460E7F">
      <w:pPr>
        <w:ind w:left="-567" w:right="567"/>
        <w:jc w:val="both"/>
      </w:pPr>
      <w:r>
        <w:t>Förslaget i denna del begränsas till inrättandet av en hemtagningsfond.</w:t>
      </w:r>
      <w:r w:rsidR="00405CBC">
        <w:t xml:space="preserve"> </w:t>
      </w:r>
      <w:r w:rsidR="008E2756">
        <w:t>Ett a</w:t>
      </w:r>
      <w:r w:rsidR="00405CBC">
        <w:t xml:space="preserve">rgument härför är att resenärerna </w:t>
      </w:r>
      <w:r w:rsidR="008E2756">
        <w:t xml:space="preserve">redan </w:t>
      </w:r>
      <w:r w:rsidR="00405CBC">
        <w:t xml:space="preserve">är skyddade, </w:t>
      </w:r>
      <w:r w:rsidR="008E2756">
        <w:t>genom</w:t>
      </w:r>
      <w:r w:rsidR="00405CBC">
        <w:t xml:space="preserve"> bestämmelserna i paketreselagen och </w:t>
      </w:r>
      <w:r w:rsidR="000F7EFD">
        <w:t>konsumentkreditlagen.</w:t>
      </w:r>
      <w:r w:rsidR="00405CBC">
        <w:t xml:space="preserve"> </w:t>
      </w:r>
      <w:r w:rsidR="005E3FE0">
        <w:t xml:space="preserve">Detta innebär att kortföretag och resebyråer/researrangörer ska </w:t>
      </w:r>
      <w:r w:rsidR="004F1140">
        <w:t>utgöra säkerhet till skydd mot flygbolagens dåliga ekonomi</w:t>
      </w:r>
      <w:r w:rsidR="0024243D">
        <w:t xml:space="preserve">. </w:t>
      </w:r>
      <w:r w:rsidR="004F1140">
        <w:t>I detta sammanhang är det viktigt att notera att kortföretagen idag kräver säkerhet av resebyråer och researrangörer vid kortbetalning. Om kortföretagen får återbetala till resenär på grund av att flygbolag går i konkurs, krävs reseföretaget på ersättning, viket innebär att det i praktiken är resebyråer och researrangörer som ensamma ska skydda resenärer mot flygbolagskonkurser</w:t>
      </w:r>
      <w:r w:rsidR="00A16061">
        <w:t>.</w:t>
      </w:r>
    </w:p>
    <w:p w14:paraId="283DF41E" w14:textId="77777777" w:rsidR="00460E7F" w:rsidRDefault="00460E7F" w:rsidP="00460E7F">
      <w:pPr>
        <w:ind w:left="-567" w:right="567"/>
        <w:jc w:val="both"/>
      </w:pPr>
    </w:p>
    <w:p w14:paraId="7D4F3556" w14:textId="3593A5AB" w:rsidR="003833F2" w:rsidRDefault="00460E7F" w:rsidP="00460E7F">
      <w:pPr>
        <w:ind w:left="-567" w:right="567"/>
        <w:jc w:val="both"/>
      </w:pPr>
      <w:r>
        <w:t xml:space="preserve">Vidare konstateras att </w:t>
      </w:r>
      <w:r w:rsidR="00ED6BB2">
        <w:t>hemtagnings</w:t>
      </w:r>
      <w:r>
        <w:t xml:space="preserve">fonden ska byggas upp genom ett bidrag från flygbolaget på tre kronor per flygresa från en svensk flygplats. Detta ska ställas mot resegarantifonden för paketresor där arrangören enligt förslaget ska betala 80 kronor per resenär. Den stora skillnaden i nivå mellan flygbiljett och paketresa </w:t>
      </w:r>
      <w:r w:rsidR="00B92F81">
        <w:t>riskerar</w:t>
      </w:r>
      <w:r>
        <w:t xml:space="preserve"> att snedvrida konkurrensen. I dag är det lätt för en resenär att själv boka flyg och hotell på internet. Den stora skillnaden mellan flygbiljetter och paketresor medför en stor risk för att resenärer i stället själva bokar flyg och hotell på internet och därmed går miste om det skydd som det medför att köpa en paketresa. Det är inte rimligt att ett nytt system styr konsumenter bort från den skyddslagstiftning som finns.</w:t>
      </w:r>
      <w:r w:rsidR="00ED6BB2">
        <w:t xml:space="preserve"> I detta sammanhang bör beaktas att </w:t>
      </w:r>
      <w:r w:rsidR="003A72EF">
        <w:t xml:space="preserve">flygtransporten i en paketresa normalt sett uppgår till ca </w:t>
      </w:r>
      <w:proofErr w:type="gramStart"/>
      <w:r w:rsidR="003A72EF">
        <w:t>30-40</w:t>
      </w:r>
      <w:proofErr w:type="gramEnd"/>
      <w:r w:rsidR="003A72EF">
        <w:t xml:space="preserve"> % av paketresans pris.</w:t>
      </w:r>
    </w:p>
    <w:p w14:paraId="79E63371" w14:textId="77777777" w:rsidR="002A7B6B" w:rsidRDefault="002A7B6B" w:rsidP="00460E7F">
      <w:pPr>
        <w:ind w:left="-567" w:right="567"/>
        <w:jc w:val="both"/>
      </w:pPr>
    </w:p>
    <w:p w14:paraId="06AD1DDE" w14:textId="2002DEC7" w:rsidR="00AC7E00" w:rsidRPr="003A72EF" w:rsidRDefault="00170408" w:rsidP="00170408">
      <w:pPr>
        <w:ind w:left="-567" w:right="567"/>
        <w:jc w:val="both"/>
        <w:rPr>
          <w:i/>
          <w:iCs/>
          <w:color w:val="000000" w:themeColor="text1"/>
        </w:rPr>
      </w:pPr>
      <w:r w:rsidRPr="003A72EF">
        <w:rPr>
          <w:i/>
          <w:iCs/>
          <w:color w:val="000000" w:themeColor="text1"/>
        </w:rPr>
        <w:t>Tidpunkt för ikraftträdande</w:t>
      </w:r>
      <w:r w:rsidR="00A44CCD" w:rsidRPr="003A72EF">
        <w:rPr>
          <w:i/>
          <w:iCs/>
          <w:color w:val="000000" w:themeColor="text1"/>
        </w:rPr>
        <w:t xml:space="preserve"> och övergångsregler</w:t>
      </w:r>
    </w:p>
    <w:p w14:paraId="6D16E8B5" w14:textId="31D57FCA" w:rsidR="001729A1" w:rsidRPr="003A72EF" w:rsidRDefault="001729A1" w:rsidP="00170408">
      <w:pPr>
        <w:ind w:left="-567" w:right="567"/>
        <w:jc w:val="both"/>
        <w:rPr>
          <w:color w:val="000000" w:themeColor="text1"/>
        </w:rPr>
      </w:pPr>
      <w:r w:rsidRPr="003A72EF">
        <w:rPr>
          <w:color w:val="000000" w:themeColor="text1"/>
        </w:rPr>
        <w:t xml:space="preserve">Enligt förslaget ska de delar av förslaget som rör bidrag till den nya fonden träda i kraft den 1 juli 2024. Övriga delar av förslaget ska träda i kraft </w:t>
      </w:r>
      <w:r w:rsidR="0090354C" w:rsidRPr="003A72EF">
        <w:rPr>
          <w:color w:val="000000" w:themeColor="text1"/>
        </w:rPr>
        <w:t>när fonden har nått målkapitalet.</w:t>
      </w:r>
    </w:p>
    <w:p w14:paraId="11A96189" w14:textId="77777777" w:rsidR="001729A1" w:rsidRPr="003A72EF" w:rsidRDefault="001729A1" w:rsidP="00170408">
      <w:pPr>
        <w:ind w:left="-567" w:right="567"/>
        <w:jc w:val="both"/>
        <w:rPr>
          <w:color w:val="000000" w:themeColor="text1"/>
        </w:rPr>
      </w:pPr>
    </w:p>
    <w:p w14:paraId="186DFB81" w14:textId="25A3246F" w:rsidR="001C6E41" w:rsidRPr="003A72EF" w:rsidRDefault="001C6E41" w:rsidP="00170408">
      <w:pPr>
        <w:ind w:left="-567" w:right="567"/>
        <w:jc w:val="both"/>
        <w:rPr>
          <w:color w:val="000000" w:themeColor="text1"/>
        </w:rPr>
      </w:pPr>
      <w:r w:rsidRPr="003A72EF">
        <w:rPr>
          <w:color w:val="000000" w:themeColor="text1"/>
        </w:rPr>
        <w:t xml:space="preserve">Som ovan redovisats kommer researrangörer att behöva utveckla nya system/ändra befintliga system för att ha möjlighet att lägga på </w:t>
      </w:r>
      <w:r w:rsidR="00F8369E" w:rsidRPr="003A72EF">
        <w:rPr>
          <w:color w:val="000000" w:themeColor="text1"/>
        </w:rPr>
        <w:t xml:space="preserve">ett nominellt belopp per resa beroende på vad resan kostar. Att utveckla/bygga nya system innebär kostnader för företagen samtidigt som det tar tid. </w:t>
      </w:r>
      <w:r w:rsidR="0090354C" w:rsidRPr="003A72EF">
        <w:rPr>
          <w:color w:val="000000" w:themeColor="text1"/>
        </w:rPr>
        <w:t>Att införa den nya lagstiftningen redan från den 1 juli 2024 kommer sann</w:t>
      </w:r>
      <w:r w:rsidR="00E046B0" w:rsidRPr="003A72EF">
        <w:rPr>
          <w:color w:val="000000" w:themeColor="text1"/>
        </w:rPr>
        <w:t>o</w:t>
      </w:r>
      <w:r w:rsidR="0090354C" w:rsidRPr="003A72EF">
        <w:rPr>
          <w:color w:val="000000" w:themeColor="text1"/>
        </w:rPr>
        <w:t>likt medföra att företagen ännu inte hunnit utveckla</w:t>
      </w:r>
      <w:r w:rsidR="00FD29AB" w:rsidRPr="003A72EF">
        <w:rPr>
          <w:color w:val="000000" w:themeColor="text1"/>
        </w:rPr>
        <w:t xml:space="preserve"> sina system. Detta kommer i sin tur medföra att uppgifterna ska tas fram manuellt, vilket kommer att medföra en </w:t>
      </w:r>
      <w:r w:rsidR="004E2F26" w:rsidRPr="003A72EF">
        <w:rPr>
          <w:color w:val="000000" w:themeColor="text1"/>
        </w:rPr>
        <w:t>betydande administration.</w:t>
      </w:r>
      <w:r w:rsidR="002E02F6" w:rsidRPr="003A72EF">
        <w:rPr>
          <w:color w:val="000000" w:themeColor="text1"/>
        </w:rPr>
        <w:t xml:space="preserve"> SRF förordar mot bakgrund härav att det nya resegarantisystemet inte stressas fram, utan att alla aspekter noga övervägts. Vi föreslår därför att </w:t>
      </w:r>
      <w:r w:rsidR="001F571D" w:rsidRPr="003A72EF">
        <w:rPr>
          <w:color w:val="000000" w:themeColor="text1"/>
        </w:rPr>
        <w:t xml:space="preserve">lagändringarna träder i kraft </w:t>
      </w:r>
      <w:r w:rsidR="007030FC" w:rsidRPr="003A72EF">
        <w:rPr>
          <w:color w:val="000000" w:themeColor="text1"/>
        </w:rPr>
        <w:t xml:space="preserve">1 januari </w:t>
      </w:r>
      <w:r w:rsidR="00D95E41" w:rsidRPr="003A72EF">
        <w:rPr>
          <w:color w:val="000000" w:themeColor="text1"/>
        </w:rPr>
        <w:t>2025 och gäller för samtliga resor med avresa efter detta datum.</w:t>
      </w:r>
    </w:p>
    <w:p w14:paraId="6058CAF4" w14:textId="77777777" w:rsidR="001C6E41" w:rsidRPr="00393175" w:rsidRDefault="001C6E41" w:rsidP="00170408">
      <w:pPr>
        <w:ind w:left="-567" w:right="567"/>
        <w:jc w:val="both"/>
        <w:rPr>
          <w:color w:val="FF0000"/>
        </w:rPr>
      </w:pPr>
    </w:p>
    <w:p w14:paraId="1A549BE4" w14:textId="585569BE" w:rsidR="002A7B6B" w:rsidRPr="003A72EF" w:rsidRDefault="00D66081" w:rsidP="002E02F6">
      <w:pPr>
        <w:ind w:left="-567" w:right="567"/>
        <w:jc w:val="both"/>
        <w:rPr>
          <w:color w:val="000000" w:themeColor="text1"/>
        </w:rPr>
      </w:pPr>
      <w:r w:rsidRPr="003A72EF">
        <w:rPr>
          <w:color w:val="000000" w:themeColor="text1"/>
        </w:rPr>
        <w:t xml:space="preserve">Som ovan påtalats </w:t>
      </w:r>
      <w:r w:rsidR="0017769A" w:rsidRPr="003A72EF">
        <w:rPr>
          <w:color w:val="000000" w:themeColor="text1"/>
        </w:rPr>
        <w:t>är</w:t>
      </w:r>
      <w:r w:rsidR="004E2F26" w:rsidRPr="003A72EF">
        <w:rPr>
          <w:color w:val="000000" w:themeColor="text1"/>
        </w:rPr>
        <w:t xml:space="preserve"> vidare</w:t>
      </w:r>
      <w:r w:rsidR="0017769A" w:rsidRPr="003A72EF">
        <w:rPr>
          <w:color w:val="000000" w:themeColor="text1"/>
        </w:rPr>
        <w:t xml:space="preserve"> en grundläggande förutsättning för att ett nytt resegarantisystem ska kunna införas, att staten under uppbyggnaden garanterar fondkapitalet och att företagen därigenom kan ställa </w:t>
      </w:r>
      <w:r w:rsidR="001C6E41" w:rsidRPr="003A72EF">
        <w:rPr>
          <w:color w:val="000000" w:themeColor="text1"/>
        </w:rPr>
        <w:t xml:space="preserve">en lägre individuell garanti redan från början. </w:t>
      </w:r>
      <w:r w:rsidR="004E2F26" w:rsidRPr="003A72EF">
        <w:rPr>
          <w:color w:val="000000" w:themeColor="text1"/>
        </w:rPr>
        <w:t>Eftersom resor ofta säljs långt i förväg kommer en stor del av de res</w:t>
      </w:r>
      <w:r w:rsidR="004C4C0B" w:rsidRPr="003A72EF">
        <w:rPr>
          <w:color w:val="000000" w:themeColor="text1"/>
        </w:rPr>
        <w:t xml:space="preserve">enärer som </w:t>
      </w:r>
      <w:r w:rsidR="004F4D89" w:rsidRPr="003A72EF">
        <w:rPr>
          <w:color w:val="000000" w:themeColor="text1"/>
        </w:rPr>
        <w:t xml:space="preserve">ska åka på en paketresa efter införandet att ha köpt sin resa när </w:t>
      </w:r>
      <w:r w:rsidR="004F4D89" w:rsidRPr="003A72EF">
        <w:rPr>
          <w:color w:val="000000" w:themeColor="text1"/>
        </w:rPr>
        <w:lastRenderedPageBreak/>
        <w:t xml:space="preserve">det nuvarande systemet gällde. </w:t>
      </w:r>
      <w:r w:rsidR="002304BC" w:rsidRPr="003A72EF">
        <w:rPr>
          <w:color w:val="000000" w:themeColor="text1"/>
        </w:rPr>
        <w:t xml:space="preserve">Detta riskerar att medföra konsekvenser för resenärer </w:t>
      </w:r>
      <w:r w:rsidR="00444816" w:rsidRPr="003A72EF">
        <w:rPr>
          <w:color w:val="000000" w:themeColor="text1"/>
        </w:rPr>
        <w:t>som köp sin resa innan ikraftträdandet av det nya systemet</w:t>
      </w:r>
      <w:r w:rsidR="00FE25DF" w:rsidRPr="003A72EF">
        <w:rPr>
          <w:color w:val="000000" w:themeColor="text1"/>
        </w:rPr>
        <w:t>, vars arrangör går i konkurs efter införandet. Det är därför viktigt att regeringen noga överväger vilka övergångsregler som ska tillämpas.</w:t>
      </w:r>
    </w:p>
    <w:p w14:paraId="602FBA12" w14:textId="77777777" w:rsidR="002E02F6" w:rsidRDefault="002E02F6" w:rsidP="002E02F6">
      <w:pPr>
        <w:ind w:left="-567" w:right="567"/>
        <w:jc w:val="both"/>
      </w:pPr>
    </w:p>
    <w:p w14:paraId="4454033D" w14:textId="6F5AC3B0" w:rsidR="002E02F6" w:rsidRPr="002E02F6" w:rsidRDefault="002E02F6" w:rsidP="002E02F6">
      <w:pPr>
        <w:ind w:left="-567" w:right="567"/>
        <w:jc w:val="both"/>
      </w:pPr>
      <w:r>
        <w:t xml:space="preserve">Stockholm som </w:t>
      </w:r>
      <w:r w:rsidR="006E2A48">
        <w:t>ovan</w:t>
      </w:r>
    </w:p>
    <w:p w14:paraId="3A6DFE4C" w14:textId="77777777" w:rsidR="002A7B6B" w:rsidRDefault="002A7B6B" w:rsidP="009A239E">
      <w:pPr>
        <w:jc w:val="both"/>
        <w:rPr>
          <w:rFonts w:cs="Times New Roman"/>
        </w:rPr>
      </w:pPr>
    </w:p>
    <w:p w14:paraId="23AB9B24" w14:textId="77777777" w:rsidR="002A7B6B" w:rsidRDefault="002A7B6B" w:rsidP="009A239E">
      <w:pPr>
        <w:jc w:val="both"/>
        <w:rPr>
          <w:rFonts w:cs="Times New Roman"/>
        </w:rPr>
      </w:pPr>
    </w:p>
    <w:p w14:paraId="7350116E" w14:textId="2469E065" w:rsidR="009A239E" w:rsidRDefault="0077253C" w:rsidP="0077253C">
      <w:pPr>
        <w:ind w:left="-567"/>
        <w:jc w:val="both"/>
        <w:rPr>
          <w:rFonts w:cs="Times New Roman"/>
          <w:noProof/>
        </w:rPr>
      </w:pPr>
      <w:r>
        <w:rPr>
          <w:rFonts w:cs="Times New Roman"/>
          <w:noProof/>
        </w:rPr>
        <w:drawing>
          <wp:inline distT="0" distB="0" distL="0" distR="0" wp14:anchorId="0CD24F7F" wp14:editId="7B407594">
            <wp:extent cx="1547950" cy="4191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driks signat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7651" cy="427141"/>
                    </a:xfrm>
                    <a:prstGeom prst="rect">
                      <a:avLst/>
                    </a:prstGeom>
                  </pic:spPr>
                </pic:pic>
              </a:graphicData>
            </a:graphic>
          </wp:inline>
        </w:drawing>
      </w:r>
    </w:p>
    <w:p w14:paraId="7CFC5473" w14:textId="2BD5C751" w:rsidR="0077253C" w:rsidRDefault="0077253C" w:rsidP="009A239E">
      <w:pPr>
        <w:jc w:val="both"/>
        <w:rPr>
          <w:rFonts w:cs="Times New Roman"/>
          <w:noProof/>
        </w:rPr>
      </w:pPr>
    </w:p>
    <w:p w14:paraId="3EB3153D" w14:textId="5A11EEA0" w:rsidR="009A239E" w:rsidRPr="00E07A8E" w:rsidRDefault="009A239E" w:rsidP="0077253C">
      <w:pPr>
        <w:ind w:left="-567"/>
        <w:jc w:val="both"/>
        <w:rPr>
          <w:rFonts w:cs="Times New Roman"/>
          <w:noProof/>
        </w:rPr>
      </w:pPr>
      <w:r>
        <w:rPr>
          <w:rFonts w:cs="Times New Roman"/>
        </w:rPr>
        <w:t>Didrik von Seth</w:t>
      </w:r>
    </w:p>
    <w:p w14:paraId="77429628" w14:textId="77777777" w:rsidR="009A239E" w:rsidRPr="00E07A8E" w:rsidRDefault="009A239E" w:rsidP="0077253C">
      <w:pPr>
        <w:ind w:left="-567"/>
        <w:jc w:val="both"/>
        <w:rPr>
          <w:rFonts w:cs="Times New Roman"/>
        </w:rPr>
      </w:pPr>
      <w:r w:rsidRPr="00E07A8E">
        <w:rPr>
          <w:rFonts w:cs="Times New Roman"/>
        </w:rPr>
        <w:t>Generalsekreterare</w:t>
      </w:r>
    </w:p>
    <w:p w14:paraId="5910FB41" w14:textId="2BBECD71" w:rsidR="00A0305B" w:rsidRPr="00026FD3" w:rsidRDefault="005D12F6" w:rsidP="0077253C">
      <w:pPr>
        <w:ind w:left="-567"/>
        <w:jc w:val="both"/>
        <w:rPr>
          <w:rFonts w:cs="Times New Roman"/>
          <w:i/>
          <w:iCs/>
        </w:rPr>
      </w:pPr>
      <w:hyperlink r:id="rId13" w:history="1">
        <w:r w:rsidR="00026FD3" w:rsidRPr="00026FD3">
          <w:rPr>
            <w:rStyle w:val="Hyperlnk"/>
            <w:rFonts w:cs="Times New Roman"/>
            <w:i/>
            <w:iCs/>
          </w:rPr>
          <w:t>didrik.vonseth@srf-org.se</w:t>
        </w:r>
      </w:hyperlink>
      <w:r w:rsidR="00026FD3" w:rsidRPr="00026FD3">
        <w:rPr>
          <w:rFonts w:cs="Times New Roman"/>
          <w:i/>
          <w:iCs/>
        </w:rPr>
        <w:t xml:space="preserve"> </w:t>
      </w:r>
    </w:p>
    <w:p w14:paraId="7B83CADF" w14:textId="5D9A3C8D" w:rsidR="00870F9B" w:rsidRPr="00A7114C" w:rsidRDefault="00870F9B" w:rsidP="001071BB">
      <w:pPr>
        <w:rPr>
          <w:rFonts w:cs="Times New Roman"/>
          <w:sz w:val="20"/>
          <w:szCs w:val="20"/>
        </w:rPr>
      </w:pPr>
    </w:p>
    <w:sectPr w:rsidR="00870F9B" w:rsidRPr="00A7114C" w:rsidSect="00184C5A">
      <w:headerReference w:type="default" r:id="rId14"/>
      <w:footerReference w:type="default" r:id="rId15"/>
      <w:headerReference w:type="first" r:id="rId16"/>
      <w:footerReference w:type="first" r:id="rId17"/>
      <w:pgSz w:w="11906" w:h="16838"/>
      <w:pgMar w:top="1702" w:right="1274" w:bottom="719" w:left="283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AA30" w14:textId="77777777" w:rsidR="00D503EC" w:rsidRDefault="00D503EC" w:rsidP="00E30E3F">
      <w:r>
        <w:separator/>
      </w:r>
    </w:p>
  </w:endnote>
  <w:endnote w:type="continuationSeparator" w:id="0">
    <w:p w14:paraId="0F48B180" w14:textId="77777777" w:rsidR="00D503EC" w:rsidRDefault="00D503EC" w:rsidP="00E3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157D" w14:textId="77777777" w:rsidR="008A3B93" w:rsidRPr="0061660C" w:rsidRDefault="008A3B93" w:rsidP="0061660C">
    <w:pPr>
      <w:pStyle w:val="Sidfot"/>
      <w:tabs>
        <w:tab w:val="clear" w:pos="9072"/>
        <w:tab w:val="right" w:pos="8222"/>
      </w:tabs>
      <w:rPr>
        <w:sz w:val="18"/>
      </w:rPr>
    </w:pPr>
    <w:r w:rsidRPr="0061660C">
      <w:rPr>
        <w:sz w:val="18"/>
      </w:rPr>
      <w:tab/>
    </w:r>
    <w:r w:rsidRPr="0061660C">
      <w:rPr>
        <w:sz w:val="18"/>
      </w:rPr>
      <w:tab/>
    </w:r>
    <w:r w:rsidRPr="0061660C">
      <w:rPr>
        <w:sz w:val="18"/>
      </w:rPr>
      <w:fldChar w:fldCharType="begin"/>
    </w:r>
    <w:r w:rsidRPr="0061660C">
      <w:rPr>
        <w:sz w:val="18"/>
      </w:rPr>
      <w:instrText>PAGE  \* Arabic  \* MERGEFORMAT</w:instrText>
    </w:r>
    <w:r w:rsidRPr="0061660C">
      <w:rPr>
        <w:sz w:val="18"/>
      </w:rPr>
      <w:fldChar w:fldCharType="separate"/>
    </w:r>
    <w:r w:rsidR="009B0209">
      <w:rPr>
        <w:noProof/>
        <w:sz w:val="18"/>
      </w:rPr>
      <w:t>2</w:t>
    </w:r>
    <w:r w:rsidRPr="0061660C">
      <w:rPr>
        <w:sz w:val="18"/>
      </w:rPr>
      <w:fldChar w:fldCharType="end"/>
    </w:r>
    <w:r w:rsidRPr="0061660C">
      <w:rPr>
        <w:sz w:val="18"/>
      </w:rPr>
      <w:t xml:space="preserve"> (</w:t>
    </w:r>
    <w:r w:rsidR="005D12F6">
      <w:fldChar w:fldCharType="begin"/>
    </w:r>
    <w:r w:rsidR="005D12F6">
      <w:instrText>NUMPAGES  \* Arabic  \* MERGEFORMAT</w:instrText>
    </w:r>
    <w:r w:rsidR="005D12F6">
      <w:fldChar w:fldCharType="separate"/>
    </w:r>
    <w:r w:rsidR="009B0209" w:rsidRPr="009B0209">
      <w:rPr>
        <w:noProof/>
        <w:sz w:val="18"/>
      </w:rPr>
      <w:t>2</w:t>
    </w:r>
    <w:r w:rsidR="005D12F6">
      <w:rPr>
        <w:noProof/>
        <w:sz w:val="18"/>
      </w:rPr>
      <w:fldChar w:fldCharType="end"/>
    </w:r>
    <w:r w:rsidRPr="0061660C">
      <w:rPr>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64E0" w14:textId="0347478F" w:rsidR="008A3B93" w:rsidRPr="007F50F4" w:rsidRDefault="008A3B93" w:rsidP="00657E75">
    <w:pPr>
      <w:pStyle w:val="Sidfot"/>
      <w:ind w:left="-1701"/>
      <w:rPr>
        <w:rFonts w:ascii="Franklin Gothic Medium" w:hAnsi="Franklin Gothic Medium" w:cs="Arial"/>
        <w:color w:val="365F91"/>
        <w:sz w:val="14"/>
        <w:szCs w:val="14"/>
        <w:lang w:val="en-GB"/>
      </w:rPr>
    </w:pPr>
    <w:r w:rsidRPr="007F50F4">
      <w:rPr>
        <w:rFonts w:ascii="Franklin Gothic Medium" w:hAnsi="Franklin Gothic Medium" w:cs="Arial"/>
        <w:color w:val="365F91"/>
        <w:sz w:val="14"/>
        <w:szCs w:val="14"/>
        <w:lang w:val="en-GB"/>
      </w:rPr>
      <w:t>BOX 55</w:t>
    </w:r>
    <w:r w:rsidR="00E44CB3">
      <w:rPr>
        <w:rFonts w:ascii="Franklin Gothic Medium" w:hAnsi="Franklin Gothic Medium" w:cs="Arial"/>
        <w:color w:val="365F91"/>
        <w:sz w:val="14"/>
        <w:szCs w:val="14"/>
        <w:lang w:val="en-GB"/>
      </w:rPr>
      <w:t>01</w:t>
    </w:r>
    <w:r w:rsidRPr="007F50F4">
      <w:rPr>
        <w:rFonts w:ascii="Franklin Gothic Medium" w:hAnsi="Franklin Gothic Medium" w:cs="Arial"/>
        <w:color w:val="365F91"/>
        <w:sz w:val="14"/>
        <w:szCs w:val="14"/>
        <w:lang w:val="en-GB"/>
      </w:rPr>
      <w:t>, S-</w:t>
    </w:r>
    <w:r w:rsidR="00E44CB3">
      <w:rPr>
        <w:rFonts w:ascii="Franklin Gothic Medium" w:hAnsi="Franklin Gothic Medium" w:cs="Arial"/>
        <w:color w:val="365F91"/>
        <w:sz w:val="14"/>
        <w:szCs w:val="14"/>
        <w:lang w:val="en-GB"/>
      </w:rPr>
      <w:t>114</w:t>
    </w:r>
    <w:r w:rsidRPr="007F50F4">
      <w:rPr>
        <w:rFonts w:ascii="Franklin Gothic Medium" w:hAnsi="Franklin Gothic Medium" w:cs="Arial"/>
        <w:color w:val="365F91"/>
        <w:sz w:val="14"/>
        <w:szCs w:val="14"/>
        <w:lang w:val="en-GB"/>
      </w:rPr>
      <w:t xml:space="preserve"> </w:t>
    </w:r>
    <w:r w:rsidR="00E44CB3">
      <w:rPr>
        <w:rFonts w:ascii="Franklin Gothic Medium" w:hAnsi="Franklin Gothic Medium" w:cs="Arial"/>
        <w:color w:val="365F91"/>
        <w:sz w:val="14"/>
        <w:szCs w:val="14"/>
        <w:lang w:val="en-GB"/>
      </w:rPr>
      <w:t>85</w:t>
    </w:r>
    <w:r w:rsidRPr="007F50F4">
      <w:rPr>
        <w:rFonts w:ascii="Franklin Gothic Medium" w:hAnsi="Franklin Gothic Medium" w:cs="Arial"/>
        <w:color w:val="365F91"/>
        <w:sz w:val="14"/>
        <w:szCs w:val="14"/>
        <w:lang w:val="en-GB"/>
      </w:rPr>
      <w:t xml:space="preserve"> Stockholm</w:t>
    </w:r>
  </w:p>
  <w:p w14:paraId="0CC3E821" w14:textId="0AB0383B" w:rsidR="008A3B93" w:rsidRPr="007F50F4" w:rsidRDefault="008A3B93" w:rsidP="00657E75">
    <w:pPr>
      <w:pStyle w:val="Sidfot"/>
      <w:ind w:left="-1701"/>
      <w:rPr>
        <w:rFonts w:ascii="Franklin Gothic Medium" w:hAnsi="Franklin Gothic Medium" w:cs="Arial"/>
        <w:color w:val="365F91"/>
        <w:sz w:val="14"/>
        <w:szCs w:val="14"/>
        <w:lang w:val="en-GB"/>
      </w:rPr>
    </w:pPr>
    <w:r w:rsidRPr="007F50F4">
      <w:rPr>
        <w:rFonts w:ascii="Franklin Gothic Medium" w:hAnsi="Franklin Gothic Medium" w:cs="Arial"/>
        <w:color w:val="365F91"/>
        <w:sz w:val="14"/>
        <w:szCs w:val="14"/>
        <w:lang w:val="en-GB"/>
      </w:rPr>
      <w:t xml:space="preserve">PHONE +46 8 762 68 60 </w:t>
    </w:r>
    <w:r w:rsidRPr="007F50F4">
      <w:rPr>
        <w:rFonts w:ascii="Franklin Gothic Medium" w:hAnsi="Franklin Gothic Medium" w:cs="Arial"/>
        <w:color w:val="365F91"/>
        <w:sz w:val="14"/>
        <w:szCs w:val="14"/>
        <w:lang w:val="de-DE"/>
      </w:rPr>
      <w:sym w:font="Symbol" w:char="F0B7"/>
    </w:r>
    <w:r w:rsidRPr="007F50F4">
      <w:rPr>
        <w:rFonts w:ascii="Franklin Gothic Medium" w:hAnsi="Franklin Gothic Medium" w:cs="Arial"/>
        <w:color w:val="365F91"/>
        <w:sz w:val="14"/>
        <w:szCs w:val="14"/>
        <w:lang w:val="en-GB"/>
      </w:rPr>
      <w:t xml:space="preserve"> E-MAIL info@srf-org.se  </w:t>
    </w:r>
    <w:r w:rsidRPr="007F50F4">
      <w:rPr>
        <w:rFonts w:ascii="Franklin Gothic Medium" w:hAnsi="Franklin Gothic Medium" w:cs="Arial"/>
        <w:color w:val="365F91"/>
        <w:sz w:val="14"/>
        <w:szCs w:val="14"/>
        <w:lang w:val="de-DE"/>
      </w:rPr>
      <w:sym w:font="Symbol" w:char="F0B7"/>
    </w:r>
    <w:r w:rsidRPr="00657E75">
      <w:rPr>
        <w:rFonts w:ascii="Franklin Gothic Medium" w:hAnsi="Franklin Gothic Medium" w:cs="Arial"/>
        <w:color w:val="365F91"/>
        <w:sz w:val="14"/>
        <w:szCs w:val="14"/>
        <w:lang w:val="en-US"/>
      </w:rPr>
      <w:t xml:space="preserve"> </w:t>
    </w:r>
    <w:r w:rsidRPr="007F50F4">
      <w:rPr>
        <w:rFonts w:ascii="Franklin Gothic Medium" w:hAnsi="Franklin Gothic Medium" w:cs="Arial"/>
        <w:color w:val="365F91"/>
        <w:sz w:val="14"/>
        <w:szCs w:val="14"/>
        <w:lang w:val="en-GB"/>
      </w:rPr>
      <w:t xml:space="preserve">REG NO 802015-0358/556416-0728 </w:t>
    </w:r>
    <w:r w:rsidRPr="007F50F4">
      <w:rPr>
        <w:rFonts w:ascii="Franklin Gothic Medium" w:hAnsi="Franklin Gothic Medium" w:cs="Arial"/>
        <w:color w:val="365F91"/>
        <w:sz w:val="14"/>
        <w:szCs w:val="14"/>
        <w:lang w:val="de-DE"/>
      </w:rPr>
      <w:sym w:font="Symbol" w:char="F0B7"/>
    </w:r>
    <w:r w:rsidRPr="00657E75">
      <w:rPr>
        <w:rFonts w:ascii="Franklin Gothic Medium" w:hAnsi="Franklin Gothic Medium" w:cs="Arial"/>
        <w:color w:val="365F91"/>
        <w:sz w:val="14"/>
        <w:szCs w:val="14"/>
        <w:lang w:val="en-US"/>
      </w:rPr>
      <w:t xml:space="preserve">  </w:t>
    </w:r>
    <w:r w:rsidRPr="007F50F4">
      <w:rPr>
        <w:rFonts w:ascii="Franklin Gothic Medium" w:hAnsi="Franklin Gothic Medium" w:cs="Arial"/>
        <w:i/>
        <w:color w:val="365F91"/>
        <w:sz w:val="14"/>
        <w:szCs w:val="14"/>
        <w:lang w:val="en-GB"/>
      </w:rPr>
      <w:t>www.srf-org.se</w:t>
    </w:r>
  </w:p>
  <w:p w14:paraId="52ACEC1D" w14:textId="77777777" w:rsidR="008A3B93" w:rsidRPr="008C0924" w:rsidRDefault="008A3B93" w:rsidP="00161E5D">
    <w:pPr>
      <w:pStyle w:val="Sidfot"/>
      <w:ind w:left="-993"/>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4426" w14:textId="77777777" w:rsidR="00D503EC" w:rsidRDefault="00D503EC" w:rsidP="00E30E3F">
      <w:r>
        <w:separator/>
      </w:r>
    </w:p>
  </w:footnote>
  <w:footnote w:type="continuationSeparator" w:id="0">
    <w:p w14:paraId="3B561366" w14:textId="77777777" w:rsidR="00D503EC" w:rsidRDefault="00D503EC" w:rsidP="00E3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AFEB" w14:textId="7019778F" w:rsidR="008A3B93" w:rsidRPr="00184C5A" w:rsidRDefault="00E44CB3" w:rsidP="00A32EC6">
    <w:pPr>
      <w:pStyle w:val="Sidhuvud"/>
      <w:tabs>
        <w:tab w:val="clear" w:pos="4536"/>
        <w:tab w:val="clear" w:pos="9072"/>
        <w:tab w:val="right" w:pos="7797"/>
      </w:tabs>
      <w:ind w:left="-1276"/>
      <w:rPr>
        <w:sz w:val="18"/>
      </w:rPr>
    </w:pPr>
    <w:r>
      <w:rPr>
        <w:noProof/>
        <w:sz w:val="18"/>
      </w:rPr>
      <w:drawing>
        <wp:inline distT="0" distB="0" distL="0" distR="0" wp14:anchorId="1C0CA7E1" wp14:editId="34991944">
          <wp:extent cx="1188720" cy="363748"/>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1225087" cy="3748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F65E" w14:textId="27F27ADC" w:rsidR="008A3B93" w:rsidRPr="00A32EC6" w:rsidRDefault="00E44CB3" w:rsidP="00A32EC6">
    <w:pPr>
      <w:pStyle w:val="Sidhuvud"/>
      <w:ind w:left="-1560"/>
    </w:pPr>
    <w:r>
      <w:rPr>
        <w:noProof/>
      </w:rPr>
      <w:drawing>
        <wp:inline distT="0" distB="0" distL="0" distR="0" wp14:anchorId="1C6000B2" wp14:editId="604F4184">
          <wp:extent cx="1432560" cy="742462"/>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51345" cy="7521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23BF"/>
    <w:multiLevelType w:val="hybridMultilevel"/>
    <w:tmpl w:val="E30CF1D2"/>
    <w:lvl w:ilvl="0" w:tplc="F138AA18">
      <w:start w:val="2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9D2E3F"/>
    <w:multiLevelType w:val="hybridMultilevel"/>
    <w:tmpl w:val="645EC010"/>
    <w:lvl w:ilvl="0" w:tplc="5150BD86">
      <w:start w:val="1"/>
      <w:numFmt w:val="decimal"/>
      <w:lvlText w:val="%1."/>
      <w:lvlJc w:val="left"/>
      <w:pPr>
        <w:ind w:left="-207" w:hanging="360"/>
      </w:pPr>
      <w:rPr>
        <w:rFonts w:hint="default"/>
      </w:rPr>
    </w:lvl>
    <w:lvl w:ilvl="1" w:tplc="041D0019" w:tentative="1">
      <w:start w:val="1"/>
      <w:numFmt w:val="lowerLetter"/>
      <w:lvlText w:val="%2."/>
      <w:lvlJc w:val="left"/>
      <w:pPr>
        <w:ind w:left="513" w:hanging="360"/>
      </w:pPr>
    </w:lvl>
    <w:lvl w:ilvl="2" w:tplc="041D001B" w:tentative="1">
      <w:start w:val="1"/>
      <w:numFmt w:val="lowerRoman"/>
      <w:lvlText w:val="%3."/>
      <w:lvlJc w:val="right"/>
      <w:pPr>
        <w:ind w:left="1233" w:hanging="180"/>
      </w:pPr>
    </w:lvl>
    <w:lvl w:ilvl="3" w:tplc="041D000F" w:tentative="1">
      <w:start w:val="1"/>
      <w:numFmt w:val="decimal"/>
      <w:lvlText w:val="%4."/>
      <w:lvlJc w:val="left"/>
      <w:pPr>
        <w:ind w:left="1953" w:hanging="360"/>
      </w:pPr>
    </w:lvl>
    <w:lvl w:ilvl="4" w:tplc="041D0019" w:tentative="1">
      <w:start w:val="1"/>
      <w:numFmt w:val="lowerLetter"/>
      <w:lvlText w:val="%5."/>
      <w:lvlJc w:val="left"/>
      <w:pPr>
        <w:ind w:left="2673" w:hanging="360"/>
      </w:pPr>
    </w:lvl>
    <w:lvl w:ilvl="5" w:tplc="041D001B" w:tentative="1">
      <w:start w:val="1"/>
      <w:numFmt w:val="lowerRoman"/>
      <w:lvlText w:val="%6."/>
      <w:lvlJc w:val="right"/>
      <w:pPr>
        <w:ind w:left="3393" w:hanging="180"/>
      </w:pPr>
    </w:lvl>
    <w:lvl w:ilvl="6" w:tplc="041D000F" w:tentative="1">
      <w:start w:val="1"/>
      <w:numFmt w:val="decimal"/>
      <w:lvlText w:val="%7."/>
      <w:lvlJc w:val="left"/>
      <w:pPr>
        <w:ind w:left="4113" w:hanging="360"/>
      </w:pPr>
    </w:lvl>
    <w:lvl w:ilvl="7" w:tplc="041D0019" w:tentative="1">
      <w:start w:val="1"/>
      <w:numFmt w:val="lowerLetter"/>
      <w:lvlText w:val="%8."/>
      <w:lvlJc w:val="left"/>
      <w:pPr>
        <w:ind w:left="4833" w:hanging="360"/>
      </w:pPr>
    </w:lvl>
    <w:lvl w:ilvl="8" w:tplc="041D001B" w:tentative="1">
      <w:start w:val="1"/>
      <w:numFmt w:val="lowerRoman"/>
      <w:lvlText w:val="%9."/>
      <w:lvlJc w:val="right"/>
      <w:pPr>
        <w:ind w:left="5553" w:hanging="180"/>
      </w:pPr>
    </w:lvl>
  </w:abstractNum>
  <w:abstractNum w:abstractNumId="2" w15:restartNumberingAfterBreak="0">
    <w:nsid w:val="5DA67F3E"/>
    <w:multiLevelType w:val="hybridMultilevel"/>
    <w:tmpl w:val="D7CEA670"/>
    <w:lvl w:ilvl="0" w:tplc="7CAA176C">
      <w:start w:val="1"/>
      <w:numFmt w:val="decimal"/>
      <w:lvlText w:val="%1."/>
      <w:lvlJc w:val="left"/>
      <w:pPr>
        <w:ind w:left="-207" w:hanging="360"/>
      </w:pPr>
      <w:rPr>
        <w:rFonts w:hint="default"/>
      </w:rPr>
    </w:lvl>
    <w:lvl w:ilvl="1" w:tplc="041D0019" w:tentative="1">
      <w:start w:val="1"/>
      <w:numFmt w:val="lowerLetter"/>
      <w:lvlText w:val="%2."/>
      <w:lvlJc w:val="left"/>
      <w:pPr>
        <w:ind w:left="513" w:hanging="360"/>
      </w:pPr>
    </w:lvl>
    <w:lvl w:ilvl="2" w:tplc="041D001B" w:tentative="1">
      <w:start w:val="1"/>
      <w:numFmt w:val="lowerRoman"/>
      <w:lvlText w:val="%3."/>
      <w:lvlJc w:val="right"/>
      <w:pPr>
        <w:ind w:left="1233" w:hanging="180"/>
      </w:pPr>
    </w:lvl>
    <w:lvl w:ilvl="3" w:tplc="041D000F" w:tentative="1">
      <w:start w:val="1"/>
      <w:numFmt w:val="decimal"/>
      <w:lvlText w:val="%4."/>
      <w:lvlJc w:val="left"/>
      <w:pPr>
        <w:ind w:left="1953" w:hanging="360"/>
      </w:pPr>
    </w:lvl>
    <w:lvl w:ilvl="4" w:tplc="041D0019" w:tentative="1">
      <w:start w:val="1"/>
      <w:numFmt w:val="lowerLetter"/>
      <w:lvlText w:val="%5."/>
      <w:lvlJc w:val="left"/>
      <w:pPr>
        <w:ind w:left="2673" w:hanging="360"/>
      </w:pPr>
    </w:lvl>
    <w:lvl w:ilvl="5" w:tplc="041D001B" w:tentative="1">
      <w:start w:val="1"/>
      <w:numFmt w:val="lowerRoman"/>
      <w:lvlText w:val="%6."/>
      <w:lvlJc w:val="right"/>
      <w:pPr>
        <w:ind w:left="3393" w:hanging="180"/>
      </w:pPr>
    </w:lvl>
    <w:lvl w:ilvl="6" w:tplc="041D000F" w:tentative="1">
      <w:start w:val="1"/>
      <w:numFmt w:val="decimal"/>
      <w:lvlText w:val="%7."/>
      <w:lvlJc w:val="left"/>
      <w:pPr>
        <w:ind w:left="4113" w:hanging="360"/>
      </w:pPr>
    </w:lvl>
    <w:lvl w:ilvl="7" w:tplc="041D0019" w:tentative="1">
      <w:start w:val="1"/>
      <w:numFmt w:val="lowerLetter"/>
      <w:lvlText w:val="%8."/>
      <w:lvlJc w:val="left"/>
      <w:pPr>
        <w:ind w:left="4833" w:hanging="360"/>
      </w:pPr>
    </w:lvl>
    <w:lvl w:ilvl="8" w:tplc="041D001B" w:tentative="1">
      <w:start w:val="1"/>
      <w:numFmt w:val="lowerRoman"/>
      <w:lvlText w:val="%9."/>
      <w:lvlJc w:val="right"/>
      <w:pPr>
        <w:ind w:left="5553" w:hanging="180"/>
      </w:pPr>
    </w:lvl>
  </w:abstractNum>
  <w:num w:numId="1" w16cid:durableId="1339502655">
    <w:abstractNumId w:val="0"/>
  </w:num>
  <w:num w:numId="2" w16cid:durableId="7681938">
    <w:abstractNumId w:val="1"/>
  </w:num>
  <w:num w:numId="3" w16cid:durableId="2121218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EB"/>
    <w:rsid w:val="000037EC"/>
    <w:rsid w:val="00006EB9"/>
    <w:rsid w:val="00010D21"/>
    <w:rsid w:val="00015C23"/>
    <w:rsid w:val="0001742F"/>
    <w:rsid w:val="00017537"/>
    <w:rsid w:val="0001754A"/>
    <w:rsid w:val="00017ED7"/>
    <w:rsid w:val="00022526"/>
    <w:rsid w:val="00023004"/>
    <w:rsid w:val="00026FD3"/>
    <w:rsid w:val="000272F3"/>
    <w:rsid w:val="000348BF"/>
    <w:rsid w:val="000443B4"/>
    <w:rsid w:val="00045008"/>
    <w:rsid w:val="00045421"/>
    <w:rsid w:val="000466DE"/>
    <w:rsid w:val="00047C05"/>
    <w:rsid w:val="00055D23"/>
    <w:rsid w:val="000610B7"/>
    <w:rsid w:val="0006216D"/>
    <w:rsid w:val="00063C47"/>
    <w:rsid w:val="00064673"/>
    <w:rsid w:val="0007201C"/>
    <w:rsid w:val="00073235"/>
    <w:rsid w:val="00075542"/>
    <w:rsid w:val="00080B68"/>
    <w:rsid w:val="000841EA"/>
    <w:rsid w:val="0008536E"/>
    <w:rsid w:val="000855C6"/>
    <w:rsid w:val="00085B5E"/>
    <w:rsid w:val="00091252"/>
    <w:rsid w:val="0009351E"/>
    <w:rsid w:val="0009389D"/>
    <w:rsid w:val="000A0870"/>
    <w:rsid w:val="000A545D"/>
    <w:rsid w:val="000A59B4"/>
    <w:rsid w:val="000A5ED7"/>
    <w:rsid w:val="000B05F6"/>
    <w:rsid w:val="000B10C9"/>
    <w:rsid w:val="000B12B3"/>
    <w:rsid w:val="000B5ACB"/>
    <w:rsid w:val="000B5DC4"/>
    <w:rsid w:val="000B5F60"/>
    <w:rsid w:val="000B69C3"/>
    <w:rsid w:val="000D21A3"/>
    <w:rsid w:val="000D248E"/>
    <w:rsid w:val="000D2682"/>
    <w:rsid w:val="000D6FE4"/>
    <w:rsid w:val="000D7660"/>
    <w:rsid w:val="000E01E6"/>
    <w:rsid w:val="000E1485"/>
    <w:rsid w:val="000E1A14"/>
    <w:rsid w:val="000E1EB4"/>
    <w:rsid w:val="000E5332"/>
    <w:rsid w:val="000E6162"/>
    <w:rsid w:val="000E6821"/>
    <w:rsid w:val="000F22C4"/>
    <w:rsid w:val="000F5FD8"/>
    <w:rsid w:val="000F66E2"/>
    <w:rsid w:val="000F69F1"/>
    <w:rsid w:val="000F7EFD"/>
    <w:rsid w:val="0010043F"/>
    <w:rsid w:val="001020B6"/>
    <w:rsid w:val="00102885"/>
    <w:rsid w:val="001038A6"/>
    <w:rsid w:val="001071BB"/>
    <w:rsid w:val="00110236"/>
    <w:rsid w:val="00111905"/>
    <w:rsid w:val="001121C3"/>
    <w:rsid w:val="00117163"/>
    <w:rsid w:val="00120516"/>
    <w:rsid w:val="00122BEC"/>
    <w:rsid w:val="001238E8"/>
    <w:rsid w:val="00124AA4"/>
    <w:rsid w:val="00126D86"/>
    <w:rsid w:val="00127EC5"/>
    <w:rsid w:val="001320CD"/>
    <w:rsid w:val="00133CCA"/>
    <w:rsid w:val="00136082"/>
    <w:rsid w:val="0013794C"/>
    <w:rsid w:val="00140104"/>
    <w:rsid w:val="001420DC"/>
    <w:rsid w:val="0014660D"/>
    <w:rsid w:val="00146D4C"/>
    <w:rsid w:val="0015404C"/>
    <w:rsid w:val="0015566D"/>
    <w:rsid w:val="0015572A"/>
    <w:rsid w:val="001566A5"/>
    <w:rsid w:val="001577AF"/>
    <w:rsid w:val="00161E5D"/>
    <w:rsid w:val="00166FE8"/>
    <w:rsid w:val="00170408"/>
    <w:rsid w:val="00172061"/>
    <w:rsid w:val="001729A1"/>
    <w:rsid w:val="0017769A"/>
    <w:rsid w:val="00177B41"/>
    <w:rsid w:val="00180E67"/>
    <w:rsid w:val="001817EA"/>
    <w:rsid w:val="00181F94"/>
    <w:rsid w:val="00183A63"/>
    <w:rsid w:val="00184C5A"/>
    <w:rsid w:val="0019355D"/>
    <w:rsid w:val="00193EF4"/>
    <w:rsid w:val="00197B47"/>
    <w:rsid w:val="001A2247"/>
    <w:rsid w:val="001A241D"/>
    <w:rsid w:val="001A2497"/>
    <w:rsid w:val="001A3AC2"/>
    <w:rsid w:val="001A6448"/>
    <w:rsid w:val="001A6E8B"/>
    <w:rsid w:val="001B7C5E"/>
    <w:rsid w:val="001C12AE"/>
    <w:rsid w:val="001C3823"/>
    <w:rsid w:val="001C4FB5"/>
    <w:rsid w:val="001C6E41"/>
    <w:rsid w:val="001D0887"/>
    <w:rsid w:val="001D1833"/>
    <w:rsid w:val="001D1E90"/>
    <w:rsid w:val="001D23BA"/>
    <w:rsid w:val="001D3C40"/>
    <w:rsid w:val="001D5DCD"/>
    <w:rsid w:val="001D6CCE"/>
    <w:rsid w:val="001D7954"/>
    <w:rsid w:val="001E089A"/>
    <w:rsid w:val="001E7F56"/>
    <w:rsid w:val="001F571D"/>
    <w:rsid w:val="001F5CE2"/>
    <w:rsid w:val="00201894"/>
    <w:rsid w:val="00202081"/>
    <w:rsid w:val="002070FB"/>
    <w:rsid w:val="0021280A"/>
    <w:rsid w:val="00213F1B"/>
    <w:rsid w:val="00220ED9"/>
    <w:rsid w:val="00221C4F"/>
    <w:rsid w:val="002221B4"/>
    <w:rsid w:val="00223382"/>
    <w:rsid w:val="002242FF"/>
    <w:rsid w:val="00224732"/>
    <w:rsid w:val="002304BC"/>
    <w:rsid w:val="00236029"/>
    <w:rsid w:val="00237B91"/>
    <w:rsid w:val="00240C84"/>
    <w:rsid w:val="0024243D"/>
    <w:rsid w:val="002441F2"/>
    <w:rsid w:val="00245312"/>
    <w:rsid w:val="00245A35"/>
    <w:rsid w:val="002474DD"/>
    <w:rsid w:val="00247526"/>
    <w:rsid w:val="00247B89"/>
    <w:rsid w:val="00252036"/>
    <w:rsid w:val="00260075"/>
    <w:rsid w:val="00263D55"/>
    <w:rsid w:val="00264DC2"/>
    <w:rsid w:val="002657E5"/>
    <w:rsid w:val="00266533"/>
    <w:rsid w:val="00266DE7"/>
    <w:rsid w:val="00267D99"/>
    <w:rsid w:val="0027152C"/>
    <w:rsid w:val="00272E3F"/>
    <w:rsid w:val="002751ED"/>
    <w:rsid w:val="00275B8E"/>
    <w:rsid w:val="0027629A"/>
    <w:rsid w:val="00276EEE"/>
    <w:rsid w:val="00277F26"/>
    <w:rsid w:val="00283AB2"/>
    <w:rsid w:val="00290A3D"/>
    <w:rsid w:val="002950D4"/>
    <w:rsid w:val="002A2429"/>
    <w:rsid w:val="002A693C"/>
    <w:rsid w:val="002A7B6B"/>
    <w:rsid w:val="002B1613"/>
    <w:rsid w:val="002B22AD"/>
    <w:rsid w:val="002B2977"/>
    <w:rsid w:val="002B5984"/>
    <w:rsid w:val="002B7E6C"/>
    <w:rsid w:val="002C34A7"/>
    <w:rsid w:val="002C4D64"/>
    <w:rsid w:val="002D62CE"/>
    <w:rsid w:val="002E02F6"/>
    <w:rsid w:val="002E1553"/>
    <w:rsid w:val="002E2F03"/>
    <w:rsid w:val="002F078F"/>
    <w:rsid w:val="002F0AC6"/>
    <w:rsid w:val="002F6858"/>
    <w:rsid w:val="00302F36"/>
    <w:rsid w:val="00310BA4"/>
    <w:rsid w:val="003146AA"/>
    <w:rsid w:val="00322932"/>
    <w:rsid w:val="00322A0D"/>
    <w:rsid w:val="00323D06"/>
    <w:rsid w:val="003260FB"/>
    <w:rsid w:val="00330882"/>
    <w:rsid w:val="00332B5E"/>
    <w:rsid w:val="003346D7"/>
    <w:rsid w:val="00341FCC"/>
    <w:rsid w:val="00345752"/>
    <w:rsid w:val="00346532"/>
    <w:rsid w:val="00351123"/>
    <w:rsid w:val="003551F4"/>
    <w:rsid w:val="00355C6C"/>
    <w:rsid w:val="00355FD3"/>
    <w:rsid w:val="00361151"/>
    <w:rsid w:val="00361DE0"/>
    <w:rsid w:val="0036556D"/>
    <w:rsid w:val="00365EAF"/>
    <w:rsid w:val="00371AF5"/>
    <w:rsid w:val="0037335B"/>
    <w:rsid w:val="00374366"/>
    <w:rsid w:val="003769C1"/>
    <w:rsid w:val="003833F2"/>
    <w:rsid w:val="00385683"/>
    <w:rsid w:val="003860EC"/>
    <w:rsid w:val="00390494"/>
    <w:rsid w:val="00393175"/>
    <w:rsid w:val="00395839"/>
    <w:rsid w:val="00396269"/>
    <w:rsid w:val="00396357"/>
    <w:rsid w:val="003978EB"/>
    <w:rsid w:val="003A4B78"/>
    <w:rsid w:val="003A72EF"/>
    <w:rsid w:val="003B54E4"/>
    <w:rsid w:val="003B5AD1"/>
    <w:rsid w:val="003C114E"/>
    <w:rsid w:val="003C2DF4"/>
    <w:rsid w:val="003D149A"/>
    <w:rsid w:val="003D2F5E"/>
    <w:rsid w:val="003D3454"/>
    <w:rsid w:val="003D4877"/>
    <w:rsid w:val="003D4B2A"/>
    <w:rsid w:val="003D593C"/>
    <w:rsid w:val="003E21E8"/>
    <w:rsid w:val="003E5898"/>
    <w:rsid w:val="003E63C8"/>
    <w:rsid w:val="003F76FF"/>
    <w:rsid w:val="00402A61"/>
    <w:rsid w:val="0040437A"/>
    <w:rsid w:val="00405CBC"/>
    <w:rsid w:val="004075C7"/>
    <w:rsid w:val="00411341"/>
    <w:rsid w:val="00411A0F"/>
    <w:rsid w:val="00411EB3"/>
    <w:rsid w:val="004143EE"/>
    <w:rsid w:val="00417796"/>
    <w:rsid w:val="0042215D"/>
    <w:rsid w:val="00424B6C"/>
    <w:rsid w:val="00426C54"/>
    <w:rsid w:val="0043261A"/>
    <w:rsid w:val="00433837"/>
    <w:rsid w:val="00435417"/>
    <w:rsid w:val="004375E6"/>
    <w:rsid w:val="00442D1A"/>
    <w:rsid w:val="00444816"/>
    <w:rsid w:val="004449F7"/>
    <w:rsid w:val="00446380"/>
    <w:rsid w:val="00450221"/>
    <w:rsid w:val="00450F28"/>
    <w:rsid w:val="00452BF6"/>
    <w:rsid w:val="00460E7F"/>
    <w:rsid w:val="004645D7"/>
    <w:rsid w:val="00464895"/>
    <w:rsid w:val="00465A01"/>
    <w:rsid w:val="00466600"/>
    <w:rsid w:val="0046793A"/>
    <w:rsid w:val="00472A1C"/>
    <w:rsid w:val="00473FF7"/>
    <w:rsid w:val="00474851"/>
    <w:rsid w:val="004833CE"/>
    <w:rsid w:val="00486028"/>
    <w:rsid w:val="00486F9E"/>
    <w:rsid w:val="004926C2"/>
    <w:rsid w:val="004A0B99"/>
    <w:rsid w:val="004A1324"/>
    <w:rsid w:val="004A17FF"/>
    <w:rsid w:val="004A2296"/>
    <w:rsid w:val="004B043D"/>
    <w:rsid w:val="004B0EB6"/>
    <w:rsid w:val="004B5E60"/>
    <w:rsid w:val="004C27D2"/>
    <w:rsid w:val="004C2EE6"/>
    <w:rsid w:val="004C32A0"/>
    <w:rsid w:val="004C42A3"/>
    <w:rsid w:val="004C4C0B"/>
    <w:rsid w:val="004C6331"/>
    <w:rsid w:val="004C723A"/>
    <w:rsid w:val="004D736E"/>
    <w:rsid w:val="004D7769"/>
    <w:rsid w:val="004E1347"/>
    <w:rsid w:val="004E2DBE"/>
    <w:rsid w:val="004E2F26"/>
    <w:rsid w:val="004E4B60"/>
    <w:rsid w:val="004E5DA7"/>
    <w:rsid w:val="004F0F00"/>
    <w:rsid w:val="004F1140"/>
    <w:rsid w:val="004F1DD1"/>
    <w:rsid w:val="004F2BB7"/>
    <w:rsid w:val="004F3C11"/>
    <w:rsid w:val="004F428C"/>
    <w:rsid w:val="004F4D89"/>
    <w:rsid w:val="004F57F0"/>
    <w:rsid w:val="005006BC"/>
    <w:rsid w:val="00500A78"/>
    <w:rsid w:val="005063F9"/>
    <w:rsid w:val="005075CA"/>
    <w:rsid w:val="005103E1"/>
    <w:rsid w:val="00513150"/>
    <w:rsid w:val="00513B9F"/>
    <w:rsid w:val="00520192"/>
    <w:rsid w:val="00520460"/>
    <w:rsid w:val="005218F1"/>
    <w:rsid w:val="00522406"/>
    <w:rsid w:val="005252C5"/>
    <w:rsid w:val="00527515"/>
    <w:rsid w:val="00531834"/>
    <w:rsid w:val="00531B4D"/>
    <w:rsid w:val="00535A4A"/>
    <w:rsid w:val="00545D48"/>
    <w:rsid w:val="00550BAC"/>
    <w:rsid w:val="00550EB3"/>
    <w:rsid w:val="00553C9E"/>
    <w:rsid w:val="00556104"/>
    <w:rsid w:val="00556D35"/>
    <w:rsid w:val="0056177F"/>
    <w:rsid w:val="00563B04"/>
    <w:rsid w:val="00563FEB"/>
    <w:rsid w:val="005718B0"/>
    <w:rsid w:val="00573C47"/>
    <w:rsid w:val="00576200"/>
    <w:rsid w:val="00577ED4"/>
    <w:rsid w:val="005809C8"/>
    <w:rsid w:val="00585767"/>
    <w:rsid w:val="0058697C"/>
    <w:rsid w:val="00586AE7"/>
    <w:rsid w:val="00586C2E"/>
    <w:rsid w:val="005874EE"/>
    <w:rsid w:val="005900A7"/>
    <w:rsid w:val="00590522"/>
    <w:rsid w:val="00593D6F"/>
    <w:rsid w:val="005A14DE"/>
    <w:rsid w:val="005A4151"/>
    <w:rsid w:val="005A4C58"/>
    <w:rsid w:val="005A69BF"/>
    <w:rsid w:val="005B1227"/>
    <w:rsid w:val="005B1A70"/>
    <w:rsid w:val="005B1E98"/>
    <w:rsid w:val="005B56C8"/>
    <w:rsid w:val="005C6564"/>
    <w:rsid w:val="005C7FE0"/>
    <w:rsid w:val="005D12F6"/>
    <w:rsid w:val="005D2C31"/>
    <w:rsid w:val="005D4441"/>
    <w:rsid w:val="005D4994"/>
    <w:rsid w:val="005E08AE"/>
    <w:rsid w:val="005E14D4"/>
    <w:rsid w:val="005E3FE0"/>
    <w:rsid w:val="005E4C0A"/>
    <w:rsid w:val="005E51EE"/>
    <w:rsid w:val="005E7F25"/>
    <w:rsid w:val="005F40BB"/>
    <w:rsid w:val="005F4245"/>
    <w:rsid w:val="005F5C36"/>
    <w:rsid w:val="005F6135"/>
    <w:rsid w:val="005F6681"/>
    <w:rsid w:val="00602464"/>
    <w:rsid w:val="00602D8C"/>
    <w:rsid w:val="00611B93"/>
    <w:rsid w:val="00614FC1"/>
    <w:rsid w:val="0061660C"/>
    <w:rsid w:val="00623CD1"/>
    <w:rsid w:val="00626ACA"/>
    <w:rsid w:val="006304C9"/>
    <w:rsid w:val="00630E19"/>
    <w:rsid w:val="006332EF"/>
    <w:rsid w:val="006362B2"/>
    <w:rsid w:val="00636899"/>
    <w:rsid w:val="00650CE7"/>
    <w:rsid w:val="0065199E"/>
    <w:rsid w:val="00652926"/>
    <w:rsid w:val="00654F2E"/>
    <w:rsid w:val="00656C3F"/>
    <w:rsid w:val="00657E75"/>
    <w:rsid w:val="00660A66"/>
    <w:rsid w:val="0066565D"/>
    <w:rsid w:val="0067288B"/>
    <w:rsid w:val="006738E1"/>
    <w:rsid w:val="006741EE"/>
    <w:rsid w:val="00686E18"/>
    <w:rsid w:val="00690A72"/>
    <w:rsid w:val="006970BE"/>
    <w:rsid w:val="006A0C33"/>
    <w:rsid w:val="006A0E52"/>
    <w:rsid w:val="006A293B"/>
    <w:rsid w:val="006A2A12"/>
    <w:rsid w:val="006A2D31"/>
    <w:rsid w:val="006B2D23"/>
    <w:rsid w:val="006B316E"/>
    <w:rsid w:val="006B68DB"/>
    <w:rsid w:val="006B6FCA"/>
    <w:rsid w:val="006B720D"/>
    <w:rsid w:val="006C11A2"/>
    <w:rsid w:val="006C2FFF"/>
    <w:rsid w:val="006C4625"/>
    <w:rsid w:val="006C4EE9"/>
    <w:rsid w:val="006C5303"/>
    <w:rsid w:val="006C6906"/>
    <w:rsid w:val="006D3F2F"/>
    <w:rsid w:val="006D5AE5"/>
    <w:rsid w:val="006E0365"/>
    <w:rsid w:val="006E2A48"/>
    <w:rsid w:val="006E5B0A"/>
    <w:rsid w:val="006E6BB6"/>
    <w:rsid w:val="006E7AAE"/>
    <w:rsid w:val="006F7A28"/>
    <w:rsid w:val="007030FC"/>
    <w:rsid w:val="007058D2"/>
    <w:rsid w:val="00712DFD"/>
    <w:rsid w:val="00713490"/>
    <w:rsid w:val="00715087"/>
    <w:rsid w:val="00720CBC"/>
    <w:rsid w:val="00721617"/>
    <w:rsid w:val="007258E1"/>
    <w:rsid w:val="00726C27"/>
    <w:rsid w:val="00733328"/>
    <w:rsid w:val="00733507"/>
    <w:rsid w:val="00733F04"/>
    <w:rsid w:val="00734AD3"/>
    <w:rsid w:val="00736043"/>
    <w:rsid w:val="00736357"/>
    <w:rsid w:val="00736B34"/>
    <w:rsid w:val="007405EE"/>
    <w:rsid w:val="00741E68"/>
    <w:rsid w:val="007435BB"/>
    <w:rsid w:val="007462A3"/>
    <w:rsid w:val="007464D1"/>
    <w:rsid w:val="00746F1B"/>
    <w:rsid w:val="00752ED5"/>
    <w:rsid w:val="007552A1"/>
    <w:rsid w:val="00761889"/>
    <w:rsid w:val="007639C4"/>
    <w:rsid w:val="00764606"/>
    <w:rsid w:val="0076595E"/>
    <w:rsid w:val="007665D6"/>
    <w:rsid w:val="0076673C"/>
    <w:rsid w:val="00766995"/>
    <w:rsid w:val="0077253C"/>
    <w:rsid w:val="0077393F"/>
    <w:rsid w:val="007739A6"/>
    <w:rsid w:val="007753C6"/>
    <w:rsid w:val="007803EF"/>
    <w:rsid w:val="00782564"/>
    <w:rsid w:val="007838E8"/>
    <w:rsid w:val="00784A61"/>
    <w:rsid w:val="00785BC2"/>
    <w:rsid w:val="007904B2"/>
    <w:rsid w:val="00793F18"/>
    <w:rsid w:val="00797A27"/>
    <w:rsid w:val="007A0373"/>
    <w:rsid w:val="007A0B08"/>
    <w:rsid w:val="007A5F6E"/>
    <w:rsid w:val="007A6E3C"/>
    <w:rsid w:val="007A7C91"/>
    <w:rsid w:val="007B03EB"/>
    <w:rsid w:val="007B31FA"/>
    <w:rsid w:val="007C3188"/>
    <w:rsid w:val="007C558E"/>
    <w:rsid w:val="007C55A6"/>
    <w:rsid w:val="007C68B5"/>
    <w:rsid w:val="007C7518"/>
    <w:rsid w:val="007D2C64"/>
    <w:rsid w:val="007D3E15"/>
    <w:rsid w:val="007D532C"/>
    <w:rsid w:val="007D6BC6"/>
    <w:rsid w:val="007E349B"/>
    <w:rsid w:val="007E6CD2"/>
    <w:rsid w:val="007F01E6"/>
    <w:rsid w:val="007F50F4"/>
    <w:rsid w:val="00802144"/>
    <w:rsid w:val="00804557"/>
    <w:rsid w:val="0080586B"/>
    <w:rsid w:val="00805EB4"/>
    <w:rsid w:val="00807211"/>
    <w:rsid w:val="008079DE"/>
    <w:rsid w:val="00812434"/>
    <w:rsid w:val="008144C2"/>
    <w:rsid w:val="0082153C"/>
    <w:rsid w:val="0082161F"/>
    <w:rsid w:val="00823582"/>
    <w:rsid w:val="00823737"/>
    <w:rsid w:val="008244E0"/>
    <w:rsid w:val="008250E1"/>
    <w:rsid w:val="008261B8"/>
    <w:rsid w:val="00827534"/>
    <w:rsid w:val="00830390"/>
    <w:rsid w:val="008333CC"/>
    <w:rsid w:val="008348DF"/>
    <w:rsid w:val="00836FEB"/>
    <w:rsid w:val="008454C4"/>
    <w:rsid w:val="008471E2"/>
    <w:rsid w:val="00847E32"/>
    <w:rsid w:val="0085021E"/>
    <w:rsid w:val="00852ABE"/>
    <w:rsid w:val="008607F6"/>
    <w:rsid w:val="00864511"/>
    <w:rsid w:val="008645F8"/>
    <w:rsid w:val="008649A4"/>
    <w:rsid w:val="0086608D"/>
    <w:rsid w:val="00870F9B"/>
    <w:rsid w:val="00871F74"/>
    <w:rsid w:val="0087201B"/>
    <w:rsid w:val="00872FD1"/>
    <w:rsid w:val="00881083"/>
    <w:rsid w:val="00883993"/>
    <w:rsid w:val="00894AD7"/>
    <w:rsid w:val="008957E8"/>
    <w:rsid w:val="008960F4"/>
    <w:rsid w:val="008976AC"/>
    <w:rsid w:val="008A213F"/>
    <w:rsid w:val="008A34B7"/>
    <w:rsid w:val="008A3B93"/>
    <w:rsid w:val="008A41B7"/>
    <w:rsid w:val="008A4E7D"/>
    <w:rsid w:val="008A7216"/>
    <w:rsid w:val="008C0924"/>
    <w:rsid w:val="008C235D"/>
    <w:rsid w:val="008C4EF6"/>
    <w:rsid w:val="008C7C71"/>
    <w:rsid w:val="008D3EA5"/>
    <w:rsid w:val="008E2756"/>
    <w:rsid w:val="008F1419"/>
    <w:rsid w:val="008F1FC2"/>
    <w:rsid w:val="008F3734"/>
    <w:rsid w:val="008F65FB"/>
    <w:rsid w:val="008F743B"/>
    <w:rsid w:val="00900191"/>
    <w:rsid w:val="009005F5"/>
    <w:rsid w:val="00902B4C"/>
    <w:rsid w:val="00902C85"/>
    <w:rsid w:val="00902EB5"/>
    <w:rsid w:val="0090354C"/>
    <w:rsid w:val="009037CA"/>
    <w:rsid w:val="009055A2"/>
    <w:rsid w:val="00906459"/>
    <w:rsid w:val="00906CC9"/>
    <w:rsid w:val="00912F73"/>
    <w:rsid w:val="009159C2"/>
    <w:rsid w:val="0091614E"/>
    <w:rsid w:val="00917563"/>
    <w:rsid w:val="009238E8"/>
    <w:rsid w:val="0092475F"/>
    <w:rsid w:val="00927750"/>
    <w:rsid w:val="00932885"/>
    <w:rsid w:val="00934E20"/>
    <w:rsid w:val="009435DC"/>
    <w:rsid w:val="009444DE"/>
    <w:rsid w:val="00950B80"/>
    <w:rsid w:val="00955479"/>
    <w:rsid w:val="00956061"/>
    <w:rsid w:val="0095631E"/>
    <w:rsid w:val="0097008C"/>
    <w:rsid w:val="00970155"/>
    <w:rsid w:val="00972CF3"/>
    <w:rsid w:val="009733C6"/>
    <w:rsid w:val="00975729"/>
    <w:rsid w:val="00977E34"/>
    <w:rsid w:val="00980234"/>
    <w:rsid w:val="00980A13"/>
    <w:rsid w:val="00983275"/>
    <w:rsid w:val="009960B6"/>
    <w:rsid w:val="00996196"/>
    <w:rsid w:val="009A239E"/>
    <w:rsid w:val="009A2D1F"/>
    <w:rsid w:val="009A5D08"/>
    <w:rsid w:val="009B0209"/>
    <w:rsid w:val="009B0C6A"/>
    <w:rsid w:val="009C12EE"/>
    <w:rsid w:val="009C1B02"/>
    <w:rsid w:val="009C2346"/>
    <w:rsid w:val="009D42DA"/>
    <w:rsid w:val="009D5206"/>
    <w:rsid w:val="009D6B6C"/>
    <w:rsid w:val="009D6FCA"/>
    <w:rsid w:val="009E1010"/>
    <w:rsid w:val="009E53B6"/>
    <w:rsid w:val="009E5806"/>
    <w:rsid w:val="009E6FDF"/>
    <w:rsid w:val="009F1C40"/>
    <w:rsid w:val="009F540C"/>
    <w:rsid w:val="009F7CBF"/>
    <w:rsid w:val="009F7D23"/>
    <w:rsid w:val="00A01919"/>
    <w:rsid w:val="00A0305B"/>
    <w:rsid w:val="00A062F7"/>
    <w:rsid w:val="00A11ABB"/>
    <w:rsid w:val="00A123E5"/>
    <w:rsid w:val="00A13C30"/>
    <w:rsid w:val="00A14D4C"/>
    <w:rsid w:val="00A16061"/>
    <w:rsid w:val="00A2034E"/>
    <w:rsid w:val="00A20A80"/>
    <w:rsid w:val="00A21438"/>
    <w:rsid w:val="00A228F7"/>
    <w:rsid w:val="00A22A95"/>
    <w:rsid w:val="00A23E48"/>
    <w:rsid w:val="00A252FA"/>
    <w:rsid w:val="00A32EC6"/>
    <w:rsid w:val="00A36281"/>
    <w:rsid w:val="00A40F51"/>
    <w:rsid w:val="00A42095"/>
    <w:rsid w:val="00A43B1B"/>
    <w:rsid w:val="00A44CA2"/>
    <w:rsid w:val="00A44CCD"/>
    <w:rsid w:val="00A50836"/>
    <w:rsid w:val="00A52102"/>
    <w:rsid w:val="00A5453D"/>
    <w:rsid w:val="00A54FFC"/>
    <w:rsid w:val="00A575F8"/>
    <w:rsid w:val="00A63232"/>
    <w:rsid w:val="00A6498D"/>
    <w:rsid w:val="00A64A6B"/>
    <w:rsid w:val="00A65089"/>
    <w:rsid w:val="00A7114C"/>
    <w:rsid w:val="00A72BB8"/>
    <w:rsid w:val="00A72BEC"/>
    <w:rsid w:val="00A76B6F"/>
    <w:rsid w:val="00A808B4"/>
    <w:rsid w:val="00A81CAC"/>
    <w:rsid w:val="00A849CE"/>
    <w:rsid w:val="00A90C10"/>
    <w:rsid w:val="00A9223D"/>
    <w:rsid w:val="00A93D5B"/>
    <w:rsid w:val="00A95EBF"/>
    <w:rsid w:val="00A968A4"/>
    <w:rsid w:val="00A97AE7"/>
    <w:rsid w:val="00AA3467"/>
    <w:rsid w:val="00AA7D14"/>
    <w:rsid w:val="00AB0E39"/>
    <w:rsid w:val="00AB1323"/>
    <w:rsid w:val="00AB2B33"/>
    <w:rsid w:val="00AB43C2"/>
    <w:rsid w:val="00AB44E4"/>
    <w:rsid w:val="00AB7C6F"/>
    <w:rsid w:val="00AC0F73"/>
    <w:rsid w:val="00AC5064"/>
    <w:rsid w:val="00AC59ED"/>
    <w:rsid w:val="00AC7E00"/>
    <w:rsid w:val="00AD55E4"/>
    <w:rsid w:val="00AE5E2A"/>
    <w:rsid w:val="00AF3987"/>
    <w:rsid w:val="00AF5840"/>
    <w:rsid w:val="00AF792E"/>
    <w:rsid w:val="00B01464"/>
    <w:rsid w:val="00B03033"/>
    <w:rsid w:val="00B0436F"/>
    <w:rsid w:val="00B04CAB"/>
    <w:rsid w:val="00B06986"/>
    <w:rsid w:val="00B07EE4"/>
    <w:rsid w:val="00B10F05"/>
    <w:rsid w:val="00B1571D"/>
    <w:rsid w:val="00B176BB"/>
    <w:rsid w:val="00B231F5"/>
    <w:rsid w:val="00B23652"/>
    <w:rsid w:val="00B251D5"/>
    <w:rsid w:val="00B25595"/>
    <w:rsid w:val="00B256C3"/>
    <w:rsid w:val="00B35544"/>
    <w:rsid w:val="00B36AB4"/>
    <w:rsid w:val="00B37D07"/>
    <w:rsid w:val="00B404C1"/>
    <w:rsid w:val="00B50716"/>
    <w:rsid w:val="00B50ADB"/>
    <w:rsid w:val="00B515EE"/>
    <w:rsid w:val="00B52880"/>
    <w:rsid w:val="00B61985"/>
    <w:rsid w:val="00B66057"/>
    <w:rsid w:val="00B70EEA"/>
    <w:rsid w:val="00B71A1E"/>
    <w:rsid w:val="00B71B36"/>
    <w:rsid w:val="00B7240B"/>
    <w:rsid w:val="00B7343F"/>
    <w:rsid w:val="00B7796B"/>
    <w:rsid w:val="00B82371"/>
    <w:rsid w:val="00B85D0B"/>
    <w:rsid w:val="00B86FD7"/>
    <w:rsid w:val="00B91BD1"/>
    <w:rsid w:val="00B92A30"/>
    <w:rsid w:val="00B92F81"/>
    <w:rsid w:val="00B9534E"/>
    <w:rsid w:val="00B96613"/>
    <w:rsid w:val="00BA147B"/>
    <w:rsid w:val="00BA2A0E"/>
    <w:rsid w:val="00BA32E8"/>
    <w:rsid w:val="00BA58FD"/>
    <w:rsid w:val="00BB2028"/>
    <w:rsid w:val="00BB2547"/>
    <w:rsid w:val="00BB3EE0"/>
    <w:rsid w:val="00BB6FC9"/>
    <w:rsid w:val="00BB76D1"/>
    <w:rsid w:val="00BC318D"/>
    <w:rsid w:val="00BD3742"/>
    <w:rsid w:val="00BD7B35"/>
    <w:rsid w:val="00BE320A"/>
    <w:rsid w:val="00BE32DA"/>
    <w:rsid w:val="00BE404F"/>
    <w:rsid w:val="00BE4507"/>
    <w:rsid w:val="00BF15A7"/>
    <w:rsid w:val="00BF16AD"/>
    <w:rsid w:val="00BF4F3E"/>
    <w:rsid w:val="00BF6E32"/>
    <w:rsid w:val="00C020D3"/>
    <w:rsid w:val="00C13F9A"/>
    <w:rsid w:val="00C14426"/>
    <w:rsid w:val="00C170C2"/>
    <w:rsid w:val="00C22862"/>
    <w:rsid w:val="00C355C1"/>
    <w:rsid w:val="00C367E7"/>
    <w:rsid w:val="00C44615"/>
    <w:rsid w:val="00C5015A"/>
    <w:rsid w:val="00C537FF"/>
    <w:rsid w:val="00C54A12"/>
    <w:rsid w:val="00C54F50"/>
    <w:rsid w:val="00C62C1B"/>
    <w:rsid w:val="00C643E5"/>
    <w:rsid w:val="00C7049D"/>
    <w:rsid w:val="00C70984"/>
    <w:rsid w:val="00C70DBD"/>
    <w:rsid w:val="00C73C10"/>
    <w:rsid w:val="00C75089"/>
    <w:rsid w:val="00C75F44"/>
    <w:rsid w:val="00C762F2"/>
    <w:rsid w:val="00C818BB"/>
    <w:rsid w:val="00C84877"/>
    <w:rsid w:val="00C84B13"/>
    <w:rsid w:val="00C91D29"/>
    <w:rsid w:val="00C9460C"/>
    <w:rsid w:val="00C96C16"/>
    <w:rsid w:val="00CA011B"/>
    <w:rsid w:val="00CA07AB"/>
    <w:rsid w:val="00CB1F9F"/>
    <w:rsid w:val="00CB441F"/>
    <w:rsid w:val="00CB785C"/>
    <w:rsid w:val="00CC1FE0"/>
    <w:rsid w:val="00CC3A53"/>
    <w:rsid w:val="00CC5DAF"/>
    <w:rsid w:val="00CD1F31"/>
    <w:rsid w:val="00CD47FF"/>
    <w:rsid w:val="00CD63C2"/>
    <w:rsid w:val="00CD764A"/>
    <w:rsid w:val="00CE4860"/>
    <w:rsid w:val="00CF10D5"/>
    <w:rsid w:val="00CF17ED"/>
    <w:rsid w:val="00D0430E"/>
    <w:rsid w:val="00D12B64"/>
    <w:rsid w:val="00D134D4"/>
    <w:rsid w:val="00D1599F"/>
    <w:rsid w:val="00D1705B"/>
    <w:rsid w:val="00D1710F"/>
    <w:rsid w:val="00D279AF"/>
    <w:rsid w:val="00D31596"/>
    <w:rsid w:val="00D32F90"/>
    <w:rsid w:val="00D32FAC"/>
    <w:rsid w:val="00D34F6B"/>
    <w:rsid w:val="00D36228"/>
    <w:rsid w:val="00D40738"/>
    <w:rsid w:val="00D40F91"/>
    <w:rsid w:val="00D4485F"/>
    <w:rsid w:val="00D45417"/>
    <w:rsid w:val="00D46034"/>
    <w:rsid w:val="00D503EC"/>
    <w:rsid w:val="00D50BFE"/>
    <w:rsid w:val="00D61D91"/>
    <w:rsid w:val="00D62D26"/>
    <w:rsid w:val="00D64D73"/>
    <w:rsid w:val="00D6502A"/>
    <w:rsid w:val="00D65CF7"/>
    <w:rsid w:val="00D65DD0"/>
    <w:rsid w:val="00D66081"/>
    <w:rsid w:val="00D70BFF"/>
    <w:rsid w:val="00D725E9"/>
    <w:rsid w:val="00D802C6"/>
    <w:rsid w:val="00D80A70"/>
    <w:rsid w:val="00D85B2A"/>
    <w:rsid w:val="00D870C3"/>
    <w:rsid w:val="00D87CA0"/>
    <w:rsid w:val="00D9342D"/>
    <w:rsid w:val="00D94A0D"/>
    <w:rsid w:val="00D95E41"/>
    <w:rsid w:val="00DA2A06"/>
    <w:rsid w:val="00DA30FF"/>
    <w:rsid w:val="00DA5433"/>
    <w:rsid w:val="00DB0662"/>
    <w:rsid w:val="00DB1024"/>
    <w:rsid w:val="00DB2E9A"/>
    <w:rsid w:val="00DB4312"/>
    <w:rsid w:val="00DB4E35"/>
    <w:rsid w:val="00DC006A"/>
    <w:rsid w:val="00DC1BF7"/>
    <w:rsid w:val="00DC6A58"/>
    <w:rsid w:val="00DC7816"/>
    <w:rsid w:val="00DD000E"/>
    <w:rsid w:val="00DD39D7"/>
    <w:rsid w:val="00DD6305"/>
    <w:rsid w:val="00DE0249"/>
    <w:rsid w:val="00DE0E6D"/>
    <w:rsid w:val="00DE1733"/>
    <w:rsid w:val="00DE4FB8"/>
    <w:rsid w:val="00DE68D0"/>
    <w:rsid w:val="00DE785B"/>
    <w:rsid w:val="00DF5C0D"/>
    <w:rsid w:val="00DF6445"/>
    <w:rsid w:val="00DF680D"/>
    <w:rsid w:val="00E04144"/>
    <w:rsid w:val="00E04541"/>
    <w:rsid w:val="00E046B0"/>
    <w:rsid w:val="00E04A83"/>
    <w:rsid w:val="00E07A8E"/>
    <w:rsid w:val="00E07ABC"/>
    <w:rsid w:val="00E15217"/>
    <w:rsid w:val="00E16E53"/>
    <w:rsid w:val="00E2724E"/>
    <w:rsid w:val="00E30E3F"/>
    <w:rsid w:val="00E362F3"/>
    <w:rsid w:val="00E371D5"/>
    <w:rsid w:val="00E427B1"/>
    <w:rsid w:val="00E42810"/>
    <w:rsid w:val="00E42960"/>
    <w:rsid w:val="00E44CB3"/>
    <w:rsid w:val="00E45BCD"/>
    <w:rsid w:val="00E46BEB"/>
    <w:rsid w:val="00E505FB"/>
    <w:rsid w:val="00E50D19"/>
    <w:rsid w:val="00E51DD2"/>
    <w:rsid w:val="00E523BE"/>
    <w:rsid w:val="00E5328D"/>
    <w:rsid w:val="00E53BC1"/>
    <w:rsid w:val="00E55F78"/>
    <w:rsid w:val="00E571FD"/>
    <w:rsid w:val="00E61A4C"/>
    <w:rsid w:val="00E6411A"/>
    <w:rsid w:val="00E64909"/>
    <w:rsid w:val="00E67C69"/>
    <w:rsid w:val="00E71C83"/>
    <w:rsid w:val="00E728DC"/>
    <w:rsid w:val="00E73B3E"/>
    <w:rsid w:val="00E75537"/>
    <w:rsid w:val="00E82E5E"/>
    <w:rsid w:val="00E8330D"/>
    <w:rsid w:val="00E84167"/>
    <w:rsid w:val="00E93762"/>
    <w:rsid w:val="00E97072"/>
    <w:rsid w:val="00E97812"/>
    <w:rsid w:val="00EA0EB4"/>
    <w:rsid w:val="00EA35B3"/>
    <w:rsid w:val="00EA4468"/>
    <w:rsid w:val="00EA474C"/>
    <w:rsid w:val="00EA4929"/>
    <w:rsid w:val="00EA749B"/>
    <w:rsid w:val="00EB21C4"/>
    <w:rsid w:val="00EB272E"/>
    <w:rsid w:val="00EB2C72"/>
    <w:rsid w:val="00EB667E"/>
    <w:rsid w:val="00EB7D74"/>
    <w:rsid w:val="00EC249A"/>
    <w:rsid w:val="00EC2B56"/>
    <w:rsid w:val="00EC3DBD"/>
    <w:rsid w:val="00EC48B2"/>
    <w:rsid w:val="00EC5CA5"/>
    <w:rsid w:val="00ED0A0D"/>
    <w:rsid w:val="00ED6551"/>
    <w:rsid w:val="00ED6BB2"/>
    <w:rsid w:val="00ED6D3C"/>
    <w:rsid w:val="00EE015D"/>
    <w:rsid w:val="00EE300B"/>
    <w:rsid w:val="00EE481A"/>
    <w:rsid w:val="00EE7037"/>
    <w:rsid w:val="00EF132B"/>
    <w:rsid w:val="00EF26C5"/>
    <w:rsid w:val="00EF42C3"/>
    <w:rsid w:val="00EF56B1"/>
    <w:rsid w:val="00EF57BE"/>
    <w:rsid w:val="00F01ED0"/>
    <w:rsid w:val="00F0218A"/>
    <w:rsid w:val="00F021DF"/>
    <w:rsid w:val="00F02A3E"/>
    <w:rsid w:val="00F02C7A"/>
    <w:rsid w:val="00F061EF"/>
    <w:rsid w:val="00F141B6"/>
    <w:rsid w:val="00F161E1"/>
    <w:rsid w:val="00F174B9"/>
    <w:rsid w:val="00F228AD"/>
    <w:rsid w:val="00F24365"/>
    <w:rsid w:val="00F34422"/>
    <w:rsid w:val="00F34FC1"/>
    <w:rsid w:val="00F35D91"/>
    <w:rsid w:val="00F43F10"/>
    <w:rsid w:val="00F523B1"/>
    <w:rsid w:val="00F544AE"/>
    <w:rsid w:val="00F60503"/>
    <w:rsid w:val="00F61382"/>
    <w:rsid w:val="00F6323C"/>
    <w:rsid w:val="00F726CF"/>
    <w:rsid w:val="00F7432F"/>
    <w:rsid w:val="00F745C8"/>
    <w:rsid w:val="00F75F0D"/>
    <w:rsid w:val="00F77667"/>
    <w:rsid w:val="00F8225F"/>
    <w:rsid w:val="00F83048"/>
    <w:rsid w:val="00F8369E"/>
    <w:rsid w:val="00F84AD6"/>
    <w:rsid w:val="00F8600C"/>
    <w:rsid w:val="00F91032"/>
    <w:rsid w:val="00F9220B"/>
    <w:rsid w:val="00FA1D40"/>
    <w:rsid w:val="00FA405E"/>
    <w:rsid w:val="00FA6DDB"/>
    <w:rsid w:val="00FB0A02"/>
    <w:rsid w:val="00FB2C4D"/>
    <w:rsid w:val="00FB4A51"/>
    <w:rsid w:val="00FB671B"/>
    <w:rsid w:val="00FC1B66"/>
    <w:rsid w:val="00FC3B76"/>
    <w:rsid w:val="00FC4070"/>
    <w:rsid w:val="00FC4DC9"/>
    <w:rsid w:val="00FC528F"/>
    <w:rsid w:val="00FC6322"/>
    <w:rsid w:val="00FC6DAC"/>
    <w:rsid w:val="00FC79E6"/>
    <w:rsid w:val="00FD29AB"/>
    <w:rsid w:val="00FD72EC"/>
    <w:rsid w:val="00FE0D9C"/>
    <w:rsid w:val="00FE25DF"/>
    <w:rsid w:val="00FE59C4"/>
    <w:rsid w:val="00FF44A3"/>
    <w:rsid w:val="00FF4963"/>
    <w:rsid w:val="00FF4EC9"/>
    <w:rsid w:val="00FF50B4"/>
    <w:rsid w:val="00FF53B8"/>
    <w:rsid w:val="00FF729A"/>
    <w:rsid w:val="00FF7C14"/>
    <w:rsid w:val="00FF7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23BC7"/>
  <w15:docId w15:val="{F88D992A-AFB5-4685-8CBA-4CBAD0A9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alibri"/>
        <w:sz w:val="24"/>
        <w:szCs w:val="24"/>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F9B"/>
  </w:style>
  <w:style w:type="paragraph" w:styleId="Rubrik1">
    <w:name w:val="heading 1"/>
    <w:basedOn w:val="Normal"/>
    <w:next w:val="Normal"/>
    <w:link w:val="Rubrik1Char"/>
    <w:uiPriority w:val="9"/>
    <w:qFormat/>
    <w:rsid w:val="00870F9B"/>
    <w:pPr>
      <w:outlineLvl w:val="0"/>
    </w:pPr>
    <w:rPr>
      <w:rFonts w:ascii="Calibri" w:hAnsi="Calibr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35544"/>
    <w:rPr>
      <w:color w:val="0000FF"/>
      <w:u w:val="single"/>
    </w:rPr>
  </w:style>
  <w:style w:type="paragraph" w:styleId="Sidhuvud">
    <w:name w:val="header"/>
    <w:basedOn w:val="Normal"/>
    <w:link w:val="SidhuvudChar"/>
    <w:rsid w:val="00E30E3F"/>
    <w:pPr>
      <w:tabs>
        <w:tab w:val="center" w:pos="4536"/>
        <w:tab w:val="right" w:pos="9072"/>
      </w:tabs>
    </w:pPr>
  </w:style>
  <w:style w:type="character" w:customStyle="1" w:styleId="SidhuvudChar">
    <w:name w:val="Sidhuvud Char"/>
    <w:link w:val="Sidhuvud"/>
    <w:rsid w:val="00E30E3F"/>
    <w:rPr>
      <w:sz w:val="24"/>
      <w:szCs w:val="24"/>
    </w:rPr>
  </w:style>
  <w:style w:type="paragraph" w:styleId="Sidfot">
    <w:name w:val="footer"/>
    <w:basedOn w:val="Normal"/>
    <w:link w:val="SidfotChar"/>
    <w:rsid w:val="00E30E3F"/>
    <w:pPr>
      <w:tabs>
        <w:tab w:val="center" w:pos="4536"/>
        <w:tab w:val="right" w:pos="9072"/>
      </w:tabs>
    </w:pPr>
  </w:style>
  <w:style w:type="character" w:customStyle="1" w:styleId="SidfotChar">
    <w:name w:val="Sidfot Char"/>
    <w:link w:val="Sidfot"/>
    <w:rsid w:val="00E30E3F"/>
    <w:rPr>
      <w:sz w:val="24"/>
      <w:szCs w:val="24"/>
    </w:rPr>
  </w:style>
  <w:style w:type="table" w:styleId="Tabellrutnt">
    <w:name w:val="Table Grid"/>
    <w:basedOn w:val="Normaltabell"/>
    <w:uiPriority w:val="59"/>
    <w:rsid w:val="00E30E3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gtext">
    <w:name w:val="Balloon Text"/>
    <w:basedOn w:val="Normal"/>
    <w:link w:val="BallongtextChar"/>
    <w:rsid w:val="00E30E3F"/>
    <w:rPr>
      <w:rFonts w:ascii="Tahoma" w:hAnsi="Tahoma" w:cs="Tahoma"/>
      <w:sz w:val="16"/>
      <w:szCs w:val="16"/>
    </w:rPr>
  </w:style>
  <w:style w:type="character" w:customStyle="1" w:styleId="BallongtextChar">
    <w:name w:val="Ballongtext Char"/>
    <w:link w:val="Ballongtext"/>
    <w:rsid w:val="00E30E3F"/>
    <w:rPr>
      <w:rFonts w:ascii="Tahoma" w:hAnsi="Tahoma" w:cs="Tahoma"/>
      <w:sz w:val="16"/>
      <w:szCs w:val="16"/>
    </w:rPr>
  </w:style>
  <w:style w:type="paragraph" w:styleId="Fotnotstext">
    <w:name w:val="footnote text"/>
    <w:basedOn w:val="Normal"/>
    <w:link w:val="FotnotstextChar"/>
    <w:rsid w:val="00E30E3F"/>
    <w:rPr>
      <w:sz w:val="20"/>
      <w:szCs w:val="20"/>
    </w:rPr>
  </w:style>
  <w:style w:type="character" w:customStyle="1" w:styleId="FotnotstextChar">
    <w:name w:val="Fotnotstext Char"/>
    <w:basedOn w:val="Standardstycketeckensnitt"/>
    <w:link w:val="Fotnotstext"/>
    <w:rsid w:val="00E30E3F"/>
  </w:style>
  <w:style w:type="character" w:styleId="Fotnotsreferens">
    <w:name w:val="footnote reference"/>
    <w:rsid w:val="00E30E3F"/>
    <w:rPr>
      <w:vertAlign w:val="superscript"/>
    </w:rPr>
  </w:style>
  <w:style w:type="character" w:styleId="AnvndHyperlnk">
    <w:name w:val="FollowedHyperlink"/>
    <w:rsid w:val="003551F4"/>
    <w:rPr>
      <w:color w:val="800080"/>
      <w:u w:val="single"/>
    </w:rPr>
  </w:style>
  <w:style w:type="paragraph" w:styleId="Rubrik">
    <w:name w:val="Title"/>
    <w:basedOn w:val="Normal"/>
    <w:next w:val="Normal"/>
    <w:link w:val="RubrikChar"/>
    <w:qFormat/>
    <w:rsid w:val="00870F9B"/>
    <w:rPr>
      <w:rFonts w:ascii="Calibri" w:hAnsi="Calibri"/>
      <w:b/>
      <w:sz w:val="28"/>
    </w:rPr>
  </w:style>
  <w:style w:type="character" w:customStyle="1" w:styleId="RubrikChar">
    <w:name w:val="Rubrik Char"/>
    <w:basedOn w:val="Standardstycketeckensnitt"/>
    <w:link w:val="Rubrik"/>
    <w:rsid w:val="00870F9B"/>
    <w:rPr>
      <w:rFonts w:ascii="Calibri" w:hAnsi="Calibri"/>
      <w:b/>
      <w:sz w:val="28"/>
    </w:rPr>
  </w:style>
  <w:style w:type="character" w:customStyle="1" w:styleId="Rubrik1Char">
    <w:name w:val="Rubrik 1 Char"/>
    <w:basedOn w:val="Standardstycketeckensnitt"/>
    <w:link w:val="Rubrik1"/>
    <w:uiPriority w:val="9"/>
    <w:rsid w:val="00870F9B"/>
    <w:rPr>
      <w:rFonts w:ascii="Calibri" w:hAnsi="Calibri"/>
      <w:b/>
    </w:rPr>
  </w:style>
  <w:style w:type="character" w:customStyle="1" w:styleId="Nmn1">
    <w:name w:val="Nämn1"/>
    <w:basedOn w:val="Standardstycketeckensnitt"/>
    <w:uiPriority w:val="99"/>
    <w:semiHidden/>
    <w:unhideWhenUsed/>
    <w:rsid w:val="00A32EC6"/>
    <w:rPr>
      <w:color w:val="2B579A"/>
      <w:shd w:val="clear" w:color="auto" w:fill="E6E6E6"/>
    </w:rPr>
  </w:style>
  <w:style w:type="character" w:styleId="Olstomnmnande">
    <w:name w:val="Unresolved Mention"/>
    <w:basedOn w:val="Standardstycketeckensnitt"/>
    <w:uiPriority w:val="99"/>
    <w:semiHidden/>
    <w:unhideWhenUsed/>
    <w:rsid w:val="009B0209"/>
    <w:rPr>
      <w:color w:val="808080"/>
      <w:shd w:val="clear" w:color="auto" w:fill="E6E6E6"/>
    </w:rPr>
  </w:style>
  <w:style w:type="paragraph" w:styleId="Liststycke">
    <w:name w:val="List Paragraph"/>
    <w:basedOn w:val="Normal"/>
    <w:uiPriority w:val="34"/>
    <w:qFormat/>
    <w:rsid w:val="009A239E"/>
    <w:pPr>
      <w:ind w:left="720"/>
      <w:contextualSpacing/>
    </w:pPr>
  </w:style>
  <w:style w:type="paragraph" w:customStyle="1" w:styleId="Default">
    <w:name w:val="Default"/>
    <w:rsid w:val="001A241D"/>
    <w:pPr>
      <w:autoSpaceDE w:val="0"/>
      <w:autoSpaceDN w:val="0"/>
      <w:adjustRightInd w:val="0"/>
    </w:pPr>
    <w:rPr>
      <w:rFonts w:cs="Times New Roman"/>
      <w:color w:val="000000"/>
    </w:rPr>
  </w:style>
  <w:style w:type="character" w:styleId="Kommentarsreferens">
    <w:name w:val="annotation reference"/>
    <w:basedOn w:val="Standardstycketeckensnitt"/>
    <w:semiHidden/>
    <w:unhideWhenUsed/>
    <w:rsid w:val="00E97072"/>
    <w:rPr>
      <w:sz w:val="16"/>
      <w:szCs w:val="16"/>
    </w:rPr>
  </w:style>
  <w:style w:type="paragraph" w:styleId="Kommentarer">
    <w:name w:val="annotation text"/>
    <w:basedOn w:val="Normal"/>
    <w:link w:val="KommentarerChar"/>
    <w:unhideWhenUsed/>
    <w:rsid w:val="00E97072"/>
    <w:rPr>
      <w:sz w:val="20"/>
      <w:szCs w:val="20"/>
    </w:rPr>
  </w:style>
  <w:style w:type="character" w:customStyle="1" w:styleId="KommentarerChar">
    <w:name w:val="Kommentarer Char"/>
    <w:basedOn w:val="Standardstycketeckensnitt"/>
    <w:link w:val="Kommentarer"/>
    <w:rsid w:val="00E97072"/>
    <w:rPr>
      <w:sz w:val="20"/>
      <w:szCs w:val="20"/>
    </w:rPr>
  </w:style>
  <w:style w:type="paragraph" w:styleId="Kommentarsmne">
    <w:name w:val="annotation subject"/>
    <w:basedOn w:val="Kommentarer"/>
    <w:next w:val="Kommentarer"/>
    <w:link w:val="KommentarsmneChar"/>
    <w:semiHidden/>
    <w:unhideWhenUsed/>
    <w:rsid w:val="00E97072"/>
    <w:rPr>
      <w:b/>
      <w:bCs/>
    </w:rPr>
  </w:style>
  <w:style w:type="character" w:customStyle="1" w:styleId="KommentarsmneChar">
    <w:name w:val="Kommentarsämne Char"/>
    <w:basedOn w:val="KommentarerChar"/>
    <w:link w:val="Kommentarsmne"/>
    <w:semiHidden/>
    <w:rsid w:val="00E97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893">
      <w:bodyDiv w:val="1"/>
      <w:marLeft w:val="0"/>
      <w:marRight w:val="0"/>
      <w:marTop w:val="0"/>
      <w:marBottom w:val="0"/>
      <w:divBdr>
        <w:top w:val="none" w:sz="0" w:space="0" w:color="auto"/>
        <w:left w:val="none" w:sz="0" w:space="0" w:color="auto"/>
        <w:bottom w:val="none" w:sz="0" w:space="0" w:color="auto"/>
        <w:right w:val="none" w:sz="0" w:space="0" w:color="auto"/>
      </w:divBdr>
    </w:div>
    <w:div w:id="416829495">
      <w:bodyDiv w:val="1"/>
      <w:marLeft w:val="0"/>
      <w:marRight w:val="0"/>
      <w:marTop w:val="0"/>
      <w:marBottom w:val="0"/>
      <w:divBdr>
        <w:top w:val="none" w:sz="0" w:space="0" w:color="auto"/>
        <w:left w:val="none" w:sz="0" w:space="0" w:color="auto"/>
        <w:bottom w:val="none" w:sz="0" w:space="0" w:color="auto"/>
        <w:right w:val="none" w:sz="0" w:space="0" w:color="auto"/>
      </w:divBdr>
    </w:div>
    <w:div w:id="469443493">
      <w:bodyDiv w:val="1"/>
      <w:marLeft w:val="0"/>
      <w:marRight w:val="0"/>
      <w:marTop w:val="0"/>
      <w:marBottom w:val="0"/>
      <w:divBdr>
        <w:top w:val="none" w:sz="0" w:space="0" w:color="auto"/>
        <w:left w:val="none" w:sz="0" w:space="0" w:color="auto"/>
        <w:bottom w:val="none" w:sz="0" w:space="0" w:color="auto"/>
        <w:right w:val="none" w:sz="0" w:space="0" w:color="auto"/>
      </w:divBdr>
    </w:div>
    <w:div w:id="893925364">
      <w:bodyDiv w:val="1"/>
      <w:marLeft w:val="0"/>
      <w:marRight w:val="0"/>
      <w:marTop w:val="0"/>
      <w:marBottom w:val="0"/>
      <w:divBdr>
        <w:top w:val="none" w:sz="0" w:space="0" w:color="auto"/>
        <w:left w:val="none" w:sz="0" w:space="0" w:color="auto"/>
        <w:bottom w:val="none" w:sz="0" w:space="0" w:color="auto"/>
        <w:right w:val="none" w:sz="0" w:space="0" w:color="auto"/>
      </w:divBdr>
    </w:div>
    <w:div w:id="999503125">
      <w:bodyDiv w:val="1"/>
      <w:marLeft w:val="0"/>
      <w:marRight w:val="0"/>
      <w:marTop w:val="0"/>
      <w:marBottom w:val="0"/>
      <w:divBdr>
        <w:top w:val="none" w:sz="0" w:space="0" w:color="auto"/>
        <w:left w:val="none" w:sz="0" w:space="0" w:color="auto"/>
        <w:bottom w:val="none" w:sz="0" w:space="0" w:color="auto"/>
        <w:right w:val="none" w:sz="0" w:space="0" w:color="auto"/>
      </w:divBdr>
    </w:div>
    <w:div w:id="1152406962">
      <w:bodyDiv w:val="1"/>
      <w:marLeft w:val="0"/>
      <w:marRight w:val="0"/>
      <w:marTop w:val="0"/>
      <w:marBottom w:val="0"/>
      <w:divBdr>
        <w:top w:val="none" w:sz="0" w:space="0" w:color="auto"/>
        <w:left w:val="none" w:sz="0" w:space="0" w:color="auto"/>
        <w:bottom w:val="none" w:sz="0" w:space="0" w:color="auto"/>
        <w:right w:val="none" w:sz="0" w:space="0" w:color="auto"/>
      </w:divBdr>
    </w:div>
    <w:div w:id="1831410039">
      <w:bodyDiv w:val="1"/>
      <w:marLeft w:val="0"/>
      <w:marRight w:val="0"/>
      <w:marTop w:val="0"/>
      <w:marBottom w:val="0"/>
      <w:divBdr>
        <w:top w:val="none" w:sz="0" w:space="0" w:color="auto"/>
        <w:left w:val="none" w:sz="0" w:space="0" w:color="auto"/>
        <w:bottom w:val="none" w:sz="0" w:space="0" w:color="auto"/>
        <w:right w:val="none" w:sz="0" w:space="0" w:color="auto"/>
      </w:divBdr>
    </w:div>
    <w:div w:id="1887600621">
      <w:bodyDiv w:val="1"/>
      <w:marLeft w:val="0"/>
      <w:marRight w:val="0"/>
      <w:marTop w:val="0"/>
      <w:marBottom w:val="0"/>
      <w:divBdr>
        <w:top w:val="none" w:sz="0" w:space="0" w:color="auto"/>
        <w:left w:val="none" w:sz="0" w:space="0" w:color="auto"/>
        <w:bottom w:val="none" w:sz="0" w:space="0" w:color="auto"/>
        <w:right w:val="none" w:sz="0" w:space="0" w:color="auto"/>
      </w:divBdr>
    </w:div>
    <w:div w:id="1898081155">
      <w:bodyDiv w:val="1"/>
      <w:marLeft w:val="0"/>
      <w:marRight w:val="0"/>
      <w:marTop w:val="0"/>
      <w:marBottom w:val="0"/>
      <w:divBdr>
        <w:top w:val="none" w:sz="0" w:space="0" w:color="auto"/>
        <w:left w:val="none" w:sz="0" w:space="0" w:color="auto"/>
        <w:bottom w:val="none" w:sz="0" w:space="0" w:color="auto"/>
        <w:right w:val="none" w:sz="0" w:space="0" w:color="auto"/>
      </w:divBdr>
    </w:div>
    <w:div w:id="20096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drik.vonseth@srf-org.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ofa.ko@regeringskansliet.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i.remissvar@regeringskansliet.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FCD8FCC45B2C46A50247BD67B52104" ma:contentTypeVersion="16" ma:contentTypeDescription="Skapa ett nytt dokument." ma:contentTypeScope="" ma:versionID="b53aa56848064e3354349f73cc885a2b">
  <xsd:schema xmlns:xsd="http://www.w3.org/2001/XMLSchema" xmlns:xs="http://www.w3.org/2001/XMLSchema" xmlns:p="http://schemas.microsoft.com/office/2006/metadata/properties" xmlns:ns2="ae7063c4-bdc4-4548-ad7a-5f4b84e37951" xmlns:ns3="c034498e-99de-4cc0-8d42-2b2c446f6fd7" targetNamespace="http://schemas.microsoft.com/office/2006/metadata/properties" ma:root="true" ma:fieldsID="7bdc1b522f977f8bba5c2f358a32e5ca" ns2:_="" ns3:_="">
    <xsd:import namespace="ae7063c4-bdc4-4548-ad7a-5f4b84e37951"/>
    <xsd:import namespace="c034498e-99de-4cc0-8d42-2b2c446f6f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63c4-bdc4-4548-ad7a-5f4b84e37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4e8b30a-2a7c-419d-905f-7ca2bd4ed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34498e-99de-4cc0-8d42-2b2c446f6fd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5ec5d3a-cd73-4fa9-89cd-e8a7f53220af}" ma:internalName="TaxCatchAll" ma:showField="CatchAllData" ma:web="c034498e-99de-4cc0-8d42-2b2c446f6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755B-895B-4A1C-BB70-641578503941}">
  <ds:schemaRefs>
    <ds:schemaRef ds:uri="http://schemas.microsoft.com/sharepoint/v3/contenttype/forms"/>
  </ds:schemaRefs>
</ds:datastoreItem>
</file>

<file path=customXml/itemProps2.xml><?xml version="1.0" encoding="utf-8"?>
<ds:datastoreItem xmlns:ds="http://schemas.openxmlformats.org/officeDocument/2006/customXml" ds:itemID="{4D3222A8-5597-41C5-A0A8-21971C05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63c4-bdc4-4548-ad7a-5f4b84e37951"/>
    <ds:schemaRef ds:uri="c034498e-99de-4cc0-8d42-2b2c446f6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2C284-1FCA-48DB-8366-79316ED5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3701</Words>
  <Characters>20914</Characters>
  <Application>Microsoft Office Word</Application>
  <DocSecurity>0</DocSecurity>
  <Lines>174</Lines>
  <Paragraphs>49</Paragraphs>
  <ScaleCrop>false</ScaleCrop>
  <HeadingPairs>
    <vt:vector size="2" baseType="variant">
      <vt:variant>
        <vt:lpstr>Rubrik</vt:lpstr>
      </vt:variant>
      <vt:variant>
        <vt:i4>1</vt:i4>
      </vt:variant>
    </vt:vector>
  </HeadingPairs>
  <TitlesOfParts>
    <vt:vector size="1" baseType="lpstr">
      <vt:lpstr>Till</vt:lpstr>
    </vt:vector>
  </TitlesOfParts>
  <Company>Ahlford</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creator>restgo</dc:creator>
  <cp:lastModifiedBy>Didrik von Seth</cp:lastModifiedBy>
  <cp:revision>3</cp:revision>
  <cp:lastPrinted>2023-10-16T09:05:00Z</cp:lastPrinted>
  <dcterms:created xsi:type="dcterms:W3CDTF">2023-10-16T09:05:00Z</dcterms:created>
  <dcterms:modified xsi:type="dcterms:W3CDTF">2023-10-16T10:35:00Z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